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48"/>
          <w:szCs w:val="48"/>
        </w:rPr>
      </w:pPr>
      <w:r>
        <w:rPr>
          <w:rFonts w:ascii="宋体" w:hAnsi="宋体"/>
          <w:b/>
          <w:sz w:val="52"/>
          <w:szCs w:val="52"/>
        </w:rPr>
        <w:pict>
          <v:shape id="_x0000_i1025" o:spt="75" type="#_x0000_t75" style="height:705.05pt;width:499pt;" filled="f" o:preferrelative="t" stroked="f" coordsize="21600,21600">
            <v:path/>
            <v:fill on="f" focussize="0,0"/>
            <v:stroke on="f" joinstyle="miter"/>
            <v:imagedata r:id="rId11" o:title="封面"/>
            <o:lock v:ext="edit" aspectratio="t"/>
            <w10:wrap type="none"/>
            <w10:anchorlock/>
          </v:shape>
        </w:pict>
      </w:r>
    </w:p>
    <w:p>
      <w:pPr>
        <w:jc w:val="center"/>
        <w:rPr>
          <w:rFonts w:ascii="宋体" w:hAnsi="宋体"/>
          <w:b/>
          <w:bCs/>
          <w:sz w:val="48"/>
          <w:szCs w:val="48"/>
        </w:rPr>
      </w:pPr>
      <w:r>
        <w:rPr>
          <w:rFonts w:ascii="宋体" w:hAnsi="宋体"/>
          <w:b/>
          <w:bCs/>
          <w:sz w:val="48"/>
          <w:szCs w:val="48"/>
        </w:rPr>
        <w:t>目</w:t>
      </w:r>
      <w:r>
        <w:rPr>
          <w:rFonts w:hint="eastAsia" w:ascii="宋体" w:hAnsi="宋体"/>
          <w:b/>
          <w:bCs/>
          <w:sz w:val="48"/>
          <w:szCs w:val="48"/>
        </w:rPr>
        <w:t xml:space="preserve">  </w:t>
      </w:r>
      <w:r>
        <w:rPr>
          <w:rFonts w:ascii="宋体" w:hAnsi="宋体"/>
          <w:b/>
          <w:bCs/>
          <w:sz w:val="48"/>
          <w:szCs w:val="48"/>
        </w:rPr>
        <w:t>录</w:t>
      </w:r>
    </w:p>
    <w:p>
      <w:pPr>
        <w:pStyle w:val="35"/>
        <w:tabs>
          <w:tab w:val="right" w:leader="dot" w:pos="9180"/>
        </w:tabs>
        <w:spacing w:line="720" w:lineRule="auto"/>
      </w:pPr>
    </w:p>
    <w:sdt>
      <w:sdtPr>
        <w:rPr>
          <w:lang w:val="zh-CN"/>
        </w:rPr>
        <w:id w:val="-753582926"/>
        <w:docPartObj>
          <w:docPartGallery w:val="Table of Contents"/>
          <w:docPartUnique/>
        </w:docPartObj>
      </w:sdtPr>
      <w:sdtEndPr>
        <w:rPr>
          <w:b/>
          <w:bCs/>
          <w:lang w:val="zh-CN"/>
        </w:rPr>
      </w:sdtEndPr>
      <w:sdtContent>
        <w:p>
          <w:pPr>
            <w:pStyle w:val="12"/>
            <w:tabs>
              <w:tab w:val="right" w:leader="dot" w:pos="9628"/>
            </w:tabs>
            <w:rPr>
              <w:rFonts w:asciiTheme="minorHAnsi" w:hAnsiTheme="minorHAnsi" w:eastAsiaTheme="minorEastAsia" w:cstheme="minorBidi"/>
              <w:szCs w:val="22"/>
            </w:rPr>
          </w:pPr>
          <w:r>
            <w:rPr>
              <w:sz w:val="24"/>
            </w:rPr>
            <w:fldChar w:fldCharType="begin"/>
          </w:r>
          <w:r>
            <w:rPr>
              <w:sz w:val="24"/>
            </w:rPr>
            <w:instrText xml:space="preserve"> TOC \o "1-3" \h \z \u </w:instrText>
          </w:r>
          <w:r>
            <w:rPr>
              <w:sz w:val="24"/>
            </w:rPr>
            <w:fldChar w:fldCharType="separate"/>
          </w:r>
          <w:r>
            <w:fldChar w:fldCharType="begin"/>
          </w:r>
          <w:r>
            <w:instrText xml:space="preserve"> HYPERLINK \l "_Toc41309508" </w:instrText>
          </w:r>
          <w:r>
            <w:fldChar w:fldCharType="separate"/>
          </w:r>
          <w:r>
            <w:rPr>
              <w:rStyle w:val="20"/>
              <w:rFonts w:hint="eastAsia" w:ascii="黑体" w:eastAsia="黑体"/>
              <w:kern w:val="0"/>
            </w:rPr>
            <w:t>第一卷</w:t>
          </w:r>
          <w:r>
            <w:tab/>
          </w:r>
          <w:r>
            <w:fldChar w:fldCharType="begin"/>
          </w:r>
          <w:r>
            <w:instrText xml:space="preserve"> PAGEREF _Toc41309508 \h </w:instrText>
          </w:r>
          <w:r>
            <w:fldChar w:fldCharType="separate"/>
          </w:r>
          <w:r>
            <w:t>2</w:t>
          </w:r>
          <w:r>
            <w:fldChar w:fldCharType="end"/>
          </w:r>
          <w:r>
            <w:fldChar w:fldCharType="end"/>
          </w:r>
        </w:p>
        <w:p>
          <w:pPr>
            <w:pStyle w:val="12"/>
            <w:tabs>
              <w:tab w:val="right" w:leader="dot" w:pos="9628"/>
            </w:tabs>
            <w:rPr>
              <w:rFonts w:asciiTheme="minorHAnsi" w:hAnsiTheme="minorHAnsi" w:eastAsiaTheme="minorEastAsia" w:cstheme="minorBidi"/>
              <w:szCs w:val="22"/>
            </w:rPr>
          </w:pPr>
          <w:r>
            <w:fldChar w:fldCharType="begin"/>
          </w:r>
          <w:r>
            <w:instrText xml:space="preserve"> HYPERLINK \l "_Toc41309509" </w:instrText>
          </w:r>
          <w:r>
            <w:fldChar w:fldCharType="separate"/>
          </w:r>
          <w:r>
            <w:rPr>
              <w:rStyle w:val="20"/>
              <w:rFonts w:hint="eastAsia" w:ascii="黑体" w:eastAsia="黑体"/>
              <w:kern w:val="0"/>
            </w:rPr>
            <w:t>第一章</w:t>
          </w:r>
          <w:r>
            <w:rPr>
              <w:rStyle w:val="20"/>
              <w:rFonts w:ascii="黑体" w:eastAsia="黑体"/>
              <w:kern w:val="0"/>
            </w:rPr>
            <w:t xml:space="preserve">  </w:t>
          </w:r>
          <w:r>
            <w:rPr>
              <w:rStyle w:val="20"/>
              <w:rFonts w:hint="eastAsia" w:ascii="黑体" w:eastAsia="黑体"/>
              <w:kern w:val="0"/>
            </w:rPr>
            <w:t>招标公告（未进行资格预审）</w:t>
          </w:r>
          <w:r>
            <w:tab/>
          </w:r>
          <w:r>
            <w:fldChar w:fldCharType="begin"/>
          </w:r>
          <w:r>
            <w:instrText xml:space="preserve"> PAGEREF _Toc41309509 \h </w:instrText>
          </w:r>
          <w:r>
            <w:fldChar w:fldCharType="separate"/>
          </w:r>
          <w:r>
            <w:t>2</w:t>
          </w:r>
          <w:r>
            <w:fldChar w:fldCharType="end"/>
          </w:r>
          <w:r>
            <w:fldChar w:fldCharType="end"/>
          </w:r>
        </w:p>
        <w:p>
          <w:pPr>
            <w:pStyle w:val="12"/>
            <w:tabs>
              <w:tab w:val="right" w:leader="dot" w:pos="9628"/>
            </w:tabs>
            <w:rPr>
              <w:rFonts w:asciiTheme="minorHAnsi" w:hAnsiTheme="minorHAnsi" w:eastAsiaTheme="minorEastAsia" w:cstheme="minorBidi"/>
              <w:szCs w:val="22"/>
            </w:rPr>
          </w:pPr>
          <w:r>
            <w:fldChar w:fldCharType="begin"/>
          </w:r>
          <w:r>
            <w:instrText xml:space="preserve"> HYPERLINK \l "_Toc41309510" </w:instrText>
          </w:r>
          <w:r>
            <w:fldChar w:fldCharType="separate"/>
          </w:r>
          <w:r>
            <w:rPr>
              <w:rStyle w:val="20"/>
              <w:rFonts w:hint="eastAsia" w:ascii="黑体" w:eastAsia="黑体"/>
              <w:kern w:val="0"/>
            </w:rPr>
            <w:t>第二章</w:t>
          </w:r>
          <w:r>
            <w:rPr>
              <w:rStyle w:val="20"/>
              <w:rFonts w:ascii="黑体" w:eastAsia="黑体"/>
              <w:kern w:val="0"/>
            </w:rPr>
            <w:t xml:space="preserve">  </w:t>
          </w:r>
          <w:r>
            <w:rPr>
              <w:rStyle w:val="20"/>
              <w:rFonts w:hint="eastAsia" w:ascii="黑体" w:eastAsia="黑体"/>
              <w:kern w:val="0"/>
            </w:rPr>
            <w:t>投标人须知</w:t>
          </w:r>
          <w:r>
            <w:tab/>
          </w:r>
          <w:r>
            <w:fldChar w:fldCharType="begin"/>
          </w:r>
          <w:r>
            <w:instrText xml:space="preserve"> PAGEREF _Toc41309510 \h </w:instrText>
          </w:r>
          <w:r>
            <w:fldChar w:fldCharType="separate"/>
          </w:r>
          <w:r>
            <w:t>5</w:t>
          </w:r>
          <w:r>
            <w:fldChar w:fldCharType="end"/>
          </w:r>
          <w:r>
            <w:fldChar w:fldCharType="end"/>
          </w:r>
        </w:p>
        <w:p>
          <w:pPr>
            <w:pStyle w:val="12"/>
            <w:tabs>
              <w:tab w:val="right" w:leader="dot" w:pos="9628"/>
            </w:tabs>
            <w:rPr>
              <w:rFonts w:asciiTheme="minorHAnsi" w:hAnsiTheme="minorHAnsi" w:eastAsiaTheme="minorEastAsia" w:cstheme="minorBidi"/>
              <w:szCs w:val="22"/>
            </w:rPr>
          </w:pPr>
          <w:r>
            <w:fldChar w:fldCharType="begin"/>
          </w:r>
          <w:r>
            <w:instrText xml:space="preserve"> HYPERLINK \l "_Toc41309511" </w:instrText>
          </w:r>
          <w:r>
            <w:fldChar w:fldCharType="separate"/>
          </w:r>
          <w:r>
            <w:rPr>
              <w:rStyle w:val="20"/>
              <w:rFonts w:hint="eastAsia" w:ascii="黑体" w:eastAsia="黑体"/>
              <w:kern w:val="0"/>
            </w:rPr>
            <w:t>第三章</w:t>
          </w:r>
          <w:r>
            <w:rPr>
              <w:rStyle w:val="20"/>
              <w:rFonts w:ascii="黑体" w:eastAsia="黑体"/>
              <w:kern w:val="0"/>
            </w:rPr>
            <w:t xml:space="preserve">  </w:t>
          </w:r>
          <w:r>
            <w:rPr>
              <w:rStyle w:val="20"/>
              <w:rFonts w:hint="eastAsia" w:ascii="黑体" w:eastAsia="黑体"/>
              <w:kern w:val="0"/>
            </w:rPr>
            <w:t>评标办法（综合评估法）</w:t>
          </w:r>
          <w:r>
            <w:tab/>
          </w:r>
          <w:r>
            <w:fldChar w:fldCharType="begin"/>
          </w:r>
          <w:r>
            <w:instrText xml:space="preserve"> PAGEREF _Toc41309511 \h </w:instrText>
          </w:r>
          <w:r>
            <w:fldChar w:fldCharType="separate"/>
          </w:r>
          <w:r>
            <w:t>28</w:t>
          </w:r>
          <w:r>
            <w:fldChar w:fldCharType="end"/>
          </w:r>
          <w:r>
            <w:fldChar w:fldCharType="end"/>
          </w:r>
        </w:p>
        <w:p>
          <w:pPr>
            <w:pStyle w:val="12"/>
            <w:tabs>
              <w:tab w:val="right" w:leader="dot" w:pos="9628"/>
            </w:tabs>
            <w:rPr>
              <w:rFonts w:asciiTheme="minorHAnsi" w:hAnsiTheme="minorHAnsi" w:eastAsiaTheme="minorEastAsia" w:cstheme="minorBidi"/>
              <w:szCs w:val="22"/>
            </w:rPr>
          </w:pPr>
          <w:r>
            <w:fldChar w:fldCharType="begin"/>
          </w:r>
          <w:r>
            <w:instrText xml:space="preserve"> HYPERLINK \l "_Toc41309512" </w:instrText>
          </w:r>
          <w:r>
            <w:fldChar w:fldCharType="separate"/>
          </w:r>
          <w:r>
            <w:rPr>
              <w:rStyle w:val="20"/>
              <w:rFonts w:hint="eastAsia" w:ascii="黑体" w:eastAsia="黑体"/>
              <w:kern w:val="0"/>
            </w:rPr>
            <w:t>第四章</w:t>
          </w:r>
          <w:r>
            <w:rPr>
              <w:rStyle w:val="20"/>
              <w:rFonts w:ascii="黑体" w:eastAsia="黑体"/>
              <w:kern w:val="0"/>
            </w:rPr>
            <w:t xml:space="preserve"> </w:t>
          </w:r>
          <w:r>
            <w:rPr>
              <w:rStyle w:val="20"/>
              <w:rFonts w:hint="eastAsia" w:ascii="黑体" w:eastAsia="黑体"/>
              <w:kern w:val="0"/>
            </w:rPr>
            <w:t>合同条款及格式</w:t>
          </w:r>
          <w:r>
            <w:tab/>
          </w:r>
          <w:r>
            <w:fldChar w:fldCharType="begin"/>
          </w:r>
          <w:r>
            <w:instrText xml:space="preserve"> PAGEREF _Toc41309512 \h </w:instrText>
          </w:r>
          <w:r>
            <w:fldChar w:fldCharType="separate"/>
          </w:r>
          <w:r>
            <w:t>34</w:t>
          </w:r>
          <w:r>
            <w:fldChar w:fldCharType="end"/>
          </w:r>
          <w:r>
            <w:fldChar w:fldCharType="end"/>
          </w:r>
        </w:p>
        <w:p>
          <w:pPr>
            <w:pStyle w:val="12"/>
            <w:tabs>
              <w:tab w:val="right" w:leader="dot" w:pos="9628"/>
            </w:tabs>
            <w:rPr>
              <w:rFonts w:asciiTheme="minorHAnsi" w:hAnsiTheme="minorHAnsi" w:eastAsiaTheme="minorEastAsia" w:cstheme="minorBidi"/>
              <w:szCs w:val="22"/>
            </w:rPr>
          </w:pPr>
          <w:r>
            <w:fldChar w:fldCharType="begin"/>
          </w:r>
          <w:r>
            <w:instrText xml:space="preserve"> HYPERLINK \l "_Toc41309513" </w:instrText>
          </w:r>
          <w:r>
            <w:fldChar w:fldCharType="separate"/>
          </w:r>
          <w:r>
            <w:rPr>
              <w:rStyle w:val="20"/>
              <w:rFonts w:hint="eastAsia" w:ascii="黑体" w:eastAsia="黑体"/>
              <w:kern w:val="0"/>
            </w:rPr>
            <w:t>第二卷</w:t>
          </w:r>
          <w:r>
            <w:tab/>
          </w:r>
          <w:r>
            <w:fldChar w:fldCharType="begin"/>
          </w:r>
          <w:r>
            <w:instrText xml:space="preserve"> PAGEREF _Toc41309513 \h </w:instrText>
          </w:r>
          <w:r>
            <w:fldChar w:fldCharType="separate"/>
          </w:r>
          <w:r>
            <w:t>51</w:t>
          </w:r>
          <w:r>
            <w:fldChar w:fldCharType="end"/>
          </w:r>
          <w:r>
            <w:fldChar w:fldCharType="end"/>
          </w:r>
        </w:p>
        <w:p>
          <w:pPr>
            <w:pStyle w:val="12"/>
            <w:tabs>
              <w:tab w:val="right" w:leader="dot" w:pos="9628"/>
            </w:tabs>
            <w:rPr>
              <w:rFonts w:asciiTheme="minorHAnsi" w:hAnsiTheme="minorHAnsi" w:eastAsiaTheme="minorEastAsia" w:cstheme="minorBidi"/>
              <w:szCs w:val="22"/>
            </w:rPr>
          </w:pPr>
          <w:r>
            <w:fldChar w:fldCharType="begin"/>
          </w:r>
          <w:r>
            <w:instrText xml:space="preserve"> HYPERLINK \l "_Toc41309514" </w:instrText>
          </w:r>
          <w:r>
            <w:fldChar w:fldCharType="separate"/>
          </w:r>
          <w:r>
            <w:rPr>
              <w:rStyle w:val="20"/>
              <w:rFonts w:hint="eastAsia" w:ascii="黑体" w:eastAsia="黑体"/>
              <w:kern w:val="0"/>
            </w:rPr>
            <w:t>第五章</w:t>
          </w:r>
          <w:r>
            <w:rPr>
              <w:rStyle w:val="20"/>
              <w:rFonts w:ascii="黑体" w:eastAsia="黑体"/>
              <w:kern w:val="0"/>
            </w:rPr>
            <w:t xml:space="preserve">  </w:t>
          </w:r>
          <w:r>
            <w:rPr>
              <w:rStyle w:val="20"/>
              <w:rFonts w:hint="eastAsia" w:ascii="黑体" w:eastAsia="黑体"/>
              <w:kern w:val="0"/>
            </w:rPr>
            <w:t>图</w:t>
          </w:r>
          <w:r>
            <w:rPr>
              <w:rStyle w:val="20"/>
              <w:rFonts w:ascii="黑体" w:eastAsia="黑体"/>
              <w:kern w:val="0"/>
            </w:rPr>
            <w:t xml:space="preserve">  </w:t>
          </w:r>
          <w:r>
            <w:rPr>
              <w:rStyle w:val="20"/>
              <w:rFonts w:hint="eastAsia" w:ascii="黑体" w:eastAsia="黑体"/>
              <w:kern w:val="0"/>
            </w:rPr>
            <w:t>纸</w:t>
          </w:r>
          <w:r>
            <w:tab/>
          </w:r>
          <w:r>
            <w:fldChar w:fldCharType="begin"/>
          </w:r>
          <w:r>
            <w:instrText xml:space="preserve"> PAGEREF _Toc41309514 \h </w:instrText>
          </w:r>
          <w:r>
            <w:fldChar w:fldCharType="separate"/>
          </w:r>
          <w:r>
            <w:t>52</w:t>
          </w:r>
          <w:r>
            <w:fldChar w:fldCharType="end"/>
          </w:r>
          <w:r>
            <w:fldChar w:fldCharType="end"/>
          </w:r>
        </w:p>
        <w:p>
          <w:pPr>
            <w:pStyle w:val="12"/>
            <w:tabs>
              <w:tab w:val="right" w:leader="dot" w:pos="9628"/>
            </w:tabs>
            <w:rPr>
              <w:rFonts w:asciiTheme="minorHAnsi" w:hAnsiTheme="minorHAnsi" w:eastAsiaTheme="minorEastAsia" w:cstheme="minorBidi"/>
              <w:szCs w:val="22"/>
            </w:rPr>
          </w:pPr>
          <w:r>
            <w:fldChar w:fldCharType="begin"/>
          </w:r>
          <w:r>
            <w:instrText xml:space="preserve"> HYPERLINK \l "_Toc41309515" </w:instrText>
          </w:r>
          <w:r>
            <w:fldChar w:fldCharType="separate"/>
          </w:r>
          <w:r>
            <w:rPr>
              <w:rStyle w:val="20"/>
              <w:rFonts w:hint="eastAsia" w:ascii="黑体" w:eastAsia="黑体"/>
              <w:kern w:val="0"/>
            </w:rPr>
            <w:t>第三卷</w:t>
          </w:r>
          <w:r>
            <w:tab/>
          </w:r>
          <w:r>
            <w:fldChar w:fldCharType="begin"/>
          </w:r>
          <w:r>
            <w:instrText xml:space="preserve"> PAGEREF _Toc41309515 \h </w:instrText>
          </w:r>
          <w:r>
            <w:fldChar w:fldCharType="separate"/>
          </w:r>
          <w:r>
            <w:t>55</w:t>
          </w:r>
          <w:r>
            <w:fldChar w:fldCharType="end"/>
          </w:r>
          <w:r>
            <w:fldChar w:fldCharType="end"/>
          </w:r>
        </w:p>
        <w:p>
          <w:pPr>
            <w:pStyle w:val="12"/>
            <w:tabs>
              <w:tab w:val="right" w:leader="dot" w:pos="9628"/>
            </w:tabs>
            <w:rPr>
              <w:rFonts w:asciiTheme="minorHAnsi" w:hAnsiTheme="minorHAnsi" w:eastAsiaTheme="minorEastAsia" w:cstheme="minorBidi"/>
              <w:szCs w:val="22"/>
            </w:rPr>
          </w:pPr>
          <w:r>
            <w:fldChar w:fldCharType="begin"/>
          </w:r>
          <w:r>
            <w:instrText xml:space="preserve"> HYPERLINK \l "_Toc41309516" </w:instrText>
          </w:r>
          <w:r>
            <w:fldChar w:fldCharType="separate"/>
          </w:r>
          <w:r>
            <w:rPr>
              <w:rStyle w:val="20"/>
              <w:rFonts w:hint="eastAsia" w:ascii="黑体" w:eastAsia="黑体"/>
              <w:kern w:val="0"/>
            </w:rPr>
            <w:t>第六章</w:t>
          </w:r>
          <w:r>
            <w:rPr>
              <w:rStyle w:val="20"/>
              <w:rFonts w:ascii="黑体" w:eastAsia="黑体"/>
              <w:kern w:val="0"/>
            </w:rPr>
            <w:t xml:space="preserve">  </w:t>
          </w:r>
          <w:r>
            <w:rPr>
              <w:rStyle w:val="20"/>
              <w:rFonts w:hint="eastAsia" w:ascii="黑体" w:eastAsia="黑体"/>
              <w:kern w:val="0"/>
            </w:rPr>
            <w:t>技术标准和要求</w:t>
          </w:r>
          <w:r>
            <w:tab/>
          </w:r>
          <w:r>
            <w:fldChar w:fldCharType="begin"/>
          </w:r>
          <w:r>
            <w:instrText xml:space="preserve"> PAGEREF _Toc41309516 \h </w:instrText>
          </w:r>
          <w:r>
            <w:fldChar w:fldCharType="separate"/>
          </w:r>
          <w:r>
            <w:t>56</w:t>
          </w:r>
          <w:r>
            <w:fldChar w:fldCharType="end"/>
          </w:r>
          <w:r>
            <w:fldChar w:fldCharType="end"/>
          </w:r>
        </w:p>
        <w:p>
          <w:pPr>
            <w:pStyle w:val="12"/>
            <w:tabs>
              <w:tab w:val="right" w:leader="dot" w:pos="9628"/>
            </w:tabs>
            <w:rPr>
              <w:rFonts w:asciiTheme="minorHAnsi" w:hAnsiTheme="minorHAnsi" w:eastAsiaTheme="minorEastAsia" w:cstheme="minorBidi"/>
              <w:szCs w:val="22"/>
            </w:rPr>
          </w:pPr>
          <w:r>
            <w:fldChar w:fldCharType="begin"/>
          </w:r>
          <w:r>
            <w:instrText xml:space="preserve"> HYPERLINK \l "_Toc41309517" </w:instrText>
          </w:r>
          <w:r>
            <w:fldChar w:fldCharType="separate"/>
          </w:r>
          <w:r>
            <w:rPr>
              <w:rStyle w:val="20"/>
              <w:rFonts w:hint="eastAsia" w:ascii="黑体" w:eastAsia="黑体"/>
              <w:kern w:val="0"/>
            </w:rPr>
            <w:t>第四卷</w:t>
          </w:r>
          <w:r>
            <w:tab/>
          </w:r>
          <w:r>
            <w:fldChar w:fldCharType="begin"/>
          </w:r>
          <w:r>
            <w:instrText xml:space="preserve"> PAGEREF _Toc41309517 \h </w:instrText>
          </w:r>
          <w:r>
            <w:fldChar w:fldCharType="separate"/>
          </w:r>
          <w:r>
            <w:t>57</w:t>
          </w:r>
          <w:r>
            <w:fldChar w:fldCharType="end"/>
          </w:r>
          <w:r>
            <w:fldChar w:fldCharType="end"/>
          </w:r>
        </w:p>
        <w:p>
          <w:pPr>
            <w:pStyle w:val="12"/>
            <w:tabs>
              <w:tab w:val="right" w:leader="dot" w:pos="9628"/>
            </w:tabs>
            <w:rPr>
              <w:rFonts w:asciiTheme="minorHAnsi" w:hAnsiTheme="minorHAnsi" w:eastAsiaTheme="minorEastAsia" w:cstheme="minorBidi"/>
              <w:szCs w:val="22"/>
            </w:rPr>
          </w:pPr>
          <w:r>
            <w:fldChar w:fldCharType="begin"/>
          </w:r>
          <w:r>
            <w:instrText xml:space="preserve"> HYPERLINK \l "_Toc41309518" </w:instrText>
          </w:r>
          <w:r>
            <w:fldChar w:fldCharType="separate"/>
          </w:r>
          <w:r>
            <w:rPr>
              <w:rStyle w:val="20"/>
              <w:rFonts w:hint="eastAsia" w:ascii="黑体" w:eastAsia="黑体"/>
              <w:kern w:val="0"/>
            </w:rPr>
            <w:t>第七章</w:t>
          </w:r>
          <w:r>
            <w:rPr>
              <w:rStyle w:val="20"/>
              <w:rFonts w:ascii="黑体" w:eastAsia="黑体"/>
              <w:kern w:val="0"/>
            </w:rPr>
            <w:t xml:space="preserve">  </w:t>
          </w:r>
          <w:r>
            <w:rPr>
              <w:rStyle w:val="20"/>
              <w:rFonts w:hint="eastAsia" w:ascii="黑体" w:eastAsia="黑体"/>
              <w:kern w:val="0"/>
            </w:rPr>
            <w:t>投标文件格式</w:t>
          </w:r>
          <w:r>
            <w:tab/>
          </w:r>
          <w:r>
            <w:fldChar w:fldCharType="begin"/>
          </w:r>
          <w:r>
            <w:instrText xml:space="preserve"> PAGEREF _Toc41309518 \h </w:instrText>
          </w:r>
          <w:r>
            <w:fldChar w:fldCharType="separate"/>
          </w:r>
          <w:r>
            <w:t>58</w:t>
          </w:r>
          <w:r>
            <w:fldChar w:fldCharType="end"/>
          </w:r>
          <w:r>
            <w:fldChar w:fldCharType="end"/>
          </w:r>
        </w:p>
        <w:p>
          <w:pPr>
            <w:pStyle w:val="12"/>
            <w:tabs>
              <w:tab w:val="right" w:leader="dot" w:pos="9628"/>
            </w:tabs>
            <w:rPr>
              <w:rFonts w:asciiTheme="minorHAnsi" w:hAnsiTheme="minorHAnsi" w:eastAsiaTheme="minorEastAsia" w:cstheme="minorBidi"/>
              <w:szCs w:val="22"/>
            </w:rPr>
          </w:pPr>
          <w:r>
            <w:fldChar w:fldCharType="begin"/>
          </w:r>
          <w:r>
            <w:instrText xml:space="preserve"> HYPERLINK \l "_Toc41309519" </w:instrText>
          </w:r>
          <w:r>
            <w:fldChar w:fldCharType="separate"/>
          </w:r>
          <w:r>
            <w:rPr>
              <w:rStyle w:val="20"/>
              <w:rFonts w:hint="eastAsia" w:ascii="黑体" w:hAnsi="宋体" w:eastAsia="黑体"/>
            </w:rPr>
            <w:t>一、投标函及投标函附录</w:t>
          </w:r>
          <w:r>
            <w:tab/>
          </w:r>
          <w:r>
            <w:fldChar w:fldCharType="begin"/>
          </w:r>
          <w:r>
            <w:instrText xml:space="preserve"> PAGEREF _Toc41309519 \h </w:instrText>
          </w:r>
          <w:r>
            <w:fldChar w:fldCharType="separate"/>
          </w:r>
          <w:r>
            <w:t>61</w:t>
          </w:r>
          <w:r>
            <w:fldChar w:fldCharType="end"/>
          </w:r>
          <w:r>
            <w:fldChar w:fldCharType="end"/>
          </w:r>
        </w:p>
        <w:p>
          <w:pPr>
            <w:pStyle w:val="12"/>
            <w:tabs>
              <w:tab w:val="right" w:leader="dot" w:pos="9628"/>
            </w:tabs>
            <w:rPr>
              <w:rFonts w:asciiTheme="minorHAnsi" w:hAnsiTheme="minorHAnsi" w:eastAsiaTheme="minorEastAsia" w:cstheme="minorBidi"/>
              <w:szCs w:val="22"/>
            </w:rPr>
          </w:pPr>
          <w:r>
            <w:fldChar w:fldCharType="begin"/>
          </w:r>
          <w:r>
            <w:instrText xml:space="preserve"> HYPERLINK \l "_Toc41309520" </w:instrText>
          </w:r>
          <w:r>
            <w:fldChar w:fldCharType="separate"/>
          </w:r>
          <w:r>
            <w:rPr>
              <w:rStyle w:val="20"/>
              <w:rFonts w:hint="eastAsia" w:ascii="黑体" w:hAnsi="宋体" w:eastAsia="黑体"/>
            </w:rPr>
            <w:t>（一）投标函</w:t>
          </w:r>
          <w:r>
            <w:tab/>
          </w:r>
          <w:r>
            <w:fldChar w:fldCharType="begin"/>
          </w:r>
          <w:r>
            <w:instrText xml:space="preserve"> PAGEREF _Toc41309520 \h </w:instrText>
          </w:r>
          <w:r>
            <w:fldChar w:fldCharType="separate"/>
          </w:r>
          <w:r>
            <w:t>61</w:t>
          </w:r>
          <w:r>
            <w:fldChar w:fldCharType="end"/>
          </w:r>
          <w:r>
            <w:fldChar w:fldCharType="end"/>
          </w:r>
        </w:p>
        <w:p>
          <w:pPr>
            <w:pStyle w:val="12"/>
            <w:tabs>
              <w:tab w:val="right" w:leader="dot" w:pos="9628"/>
            </w:tabs>
            <w:rPr>
              <w:rFonts w:asciiTheme="minorHAnsi" w:hAnsiTheme="minorHAnsi" w:eastAsiaTheme="minorEastAsia" w:cstheme="minorBidi"/>
              <w:szCs w:val="22"/>
            </w:rPr>
          </w:pPr>
          <w:r>
            <w:fldChar w:fldCharType="begin"/>
          </w:r>
          <w:r>
            <w:instrText xml:space="preserve"> HYPERLINK \l "_Toc41309521" </w:instrText>
          </w:r>
          <w:r>
            <w:fldChar w:fldCharType="separate"/>
          </w:r>
          <w:r>
            <w:rPr>
              <w:rStyle w:val="20"/>
              <w:rFonts w:hint="eastAsia" w:ascii="黑体" w:hAnsi="宋体" w:eastAsia="黑体"/>
            </w:rPr>
            <w:t>（二）投标函附录</w:t>
          </w:r>
          <w:r>
            <w:tab/>
          </w:r>
          <w:r>
            <w:fldChar w:fldCharType="begin"/>
          </w:r>
          <w:r>
            <w:instrText xml:space="preserve"> PAGEREF _Toc41309521 \h </w:instrText>
          </w:r>
          <w:r>
            <w:fldChar w:fldCharType="separate"/>
          </w:r>
          <w:r>
            <w:t>61</w:t>
          </w:r>
          <w:r>
            <w:fldChar w:fldCharType="end"/>
          </w:r>
          <w:r>
            <w:fldChar w:fldCharType="end"/>
          </w:r>
        </w:p>
        <w:p>
          <w:pPr>
            <w:pStyle w:val="12"/>
            <w:tabs>
              <w:tab w:val="right" w:leader="dot" w:pos="9628"/>
            </w:tabs>
            <w:rPr>
              <w:rFonts w:asciiTheme="minorHAnsi" w:hAnsiTheme="minorHAnsi" w:eastAsiaTheme="minorEastAsia" w:cstheme="minorBidi"/>
              <w:szCs w:val="22"/>
            </w:rPr>
          </w:pPr>
          <w:r>
            <w:fldChar w:fldCharType="begin"/>
          </w:r>
          <w:r>
            <w:instrText xml:space="preserve"> HYPERLINK \l "_Toc41309522" </w:instrText>
          </w:r>
          <w:r>
            <w:fldChar w:fldCharType="separate"/>
          </w:r>
          <w:r>
            <w:rPr>
              <w:rStyle w:val="20"/>
              <w:rFonts w:hint="eastAsia" w:ascii="黑体" w:hAnsi="宋体" w:eastAsia="黑体"/>
            </w:rPr>
            <w:t>二、法定代表人身份证明</w:t>
          </w:r>
          <w:r>
            <w:tab/>
          </w:r>
          <w:r>
            <w:fldChar w:fldCharType="begin"/>
          </w:r>
          <w:r>
            <w:instrText xml:space="preserve"> PAGEREF _Toc41309522 \h </w:instrText>
          </w:r>
          <w:r>
            <w:fldChar w:fldCharType="separate"/>
          </w:r>
          <w:r>
            <w:t>63</w:t>
          </w:r>
          <w:r>
            <w:fldChar w:fldCharType="end"/>
          </w:r>
          <w:r>
            <w:fldChar w:fldCharType="end"/>
          </w:r>
        </w:p>
        <w:p>
          <w:pPr>
            <w:pStyle w:val="12"/>
            <w:tabs>
              <w:tab w:val="right" w:leader="dot" w:pos="9628"/>
            </w:tabs>
            <w:rPr>
              <w:rFonts w:asciiTheme="minorHAnsi" w:hAnsiTheme="minorHAnsi" w:eastAsiaTheme="minorEastAsia" w:cstheme="minorBidi"/>
              <w:szCs w:val="22"/>
            </w:rPr>
          </w:pPr>
          <w:r>
            <w:fldChar w:fldCharType="begin"/>
          </w:r>
          <w:r>
            <w:instrText xml:space="preserve"> HYPERLINK \l "_Toc41309523" </w:instrText>
          </w:r>
          <w:r>
            <w:fldChar w:fldCharType="separate"/>
          </w:r>
          <w:r>
            <w:rPr>
              <w:rStyle w:val="20"/>
              <w:rFonts w:hint="eastAsia" w:ascii="黑体" w:hAnsi="宋体" w:eastAsia="黑体"/>
            </w:rPr>
            <w:t>三、授权委托书</w:t>
          </w:r>
          <w:r>
            <w:tab/>
          </w:r>
          <w:r>
            <w:fldChar w:fldCharType="begin"/>
          </w:r>
          <w:r>
            <w:instrText xml:space="preserve"> PAGEREF _Toc41309523 \h </w:instrText>
          </w:r>
          <w:r>
            <w:fldChar w:fldCharType="separate"/>
          </w:r>
          <w:r>
            <w:t>64</w:t>
          </w:r>
          <w:r>
            <w:fldChar w:fldCharType="end"/>
          </w:r>
          <w:r>
            <w:fldChar w:fldCharType="end"/>
          </w:r>
        </w:p>
        <w:p>
          <w:pPr>
            <w:pStyle w:val="12"/>
            <w:tabs>
              <w:tab w:val="right" w:leader="dot" w:pos="9628"/>
            </w:tabs>
            <w:rPr>
              <w:rFonts w:asciiTheme="minorHAnsi" w:hAnsiTheme="minorHAnsi" w:eastAsiaTheme="minorEastAsia" w:cstheme="minorBidi"/>
              <w:szCs w:val="22"/>
            </w:rPr>
          </w:pPr>
          <w:r>
            <w:fldChar w:fldCharType="begin"/>
          </w:r>
          <w:r>
            <w:instrText xml:space="preserve"> HYPERLINK \l "_Toc41309524" </w:instrText>
          </w:r>
          <w:r>
            <w:fldChar w:fldCharType="separate"/>
          </w:r>
          <w:r>
            <w:rPr>
              <w:rStyle w:val="20"/>
              <w:rFonts w:hint="eastAsia" w:ascii="黑体" w:hAnsi="宋体" w:eastAsia="黑体"/>
            </w:rPr>
            <w:t>四、投标保证金</w:t>
          </w:r>
          <w:r>
            <w:tab/>
          </w:r>
          <w:r>
            <w:fldChar w:fldCharType="begin"/>
          </w:r>
          <w:r>
            <w:instrText xml:space="preserve"> PAGEREF _Toc41309524 \h </w:instrText>
          </w:r>
          <w:r>
            <w:fldChar w:fldCharType="separate"/>
          </w:r>
          <w:r>
            <w:t>65</w:t>
          </w:r>
          <w:r>
            <w:fldChar w:fldCharType="end"/>
          </w:r>
          <w:r>
            <w:fldChar w:fldCharType="end"/>
          </w:r>
        </w:p>
        <w:p>
          <w:pPr>
            <w:pStyle w:val="12"/>
            <w:tabs>
              <w:tab w:val="right" w:leader="dot" w:pos="9628"/>
            </w:tabs>
            <w:rPr>
              <w:rFonts w:asciiTheme="minorHAnsi" w:hAnsiTheme="minorHAnsi" w:eastAsiaTheme="minorEastAsia" w:cstheme="minorBidi"/>
              <w:szCs w:val="22"/>
            </w:rPr>
          </w:pPr>
          <w:r>
            <w:fldChar w:fldCharType="begin"/>
          </w:r>
          <w:r>
            <w:instrText xml:space="preserve"> HYPERLINK \l "_Toc41309525" </w:instrText>
          </w:r>
          <w:r>
            <w:fldChar w:fldCharType="separate"/>
          </w:r>
          <w:r>
            <w:rPr>
              <w:rStyle w:val="20"/>
              <w:rFonts w:hint="eastAsia" w:ascii="黑体" w:hAnsi="宋体" w:eastAsia="黑体"/>
            </w:rPr>
            <w:t>五、代建方案</w:t>
          </w:r>
          <w:r>
            <w:tab/>
          </w:r>
          <w:r>
            <w:fldChar w:fldCharType="begin"/>
          </w:r>
          <w:r>
            <w:instrText xml:space="preserve"> PAGEREF _Toc41309525 \h </w:instrText>
          </w:r>
          <w:r>
            <w:fldChar w:fldCharType="separate"/>
          </w:r>
          <w:r>
            <w:t>66</w:t>
          </w:r>
          <w:r>
            <w:fldChar w:fldCharType="end"/>
          </w:r>
          <w:r>
            <w:fldChar w:fldCharType="end"/>
          </w:r>
        </w:p>
        <w:p>
          <w:pPr>
            <w:pStyle w:val="12"/>
            <w:tabs>
              <w:tab w:val="right" w:leader="dot" w:pos="9628"/>
            </w:tabs>
            <w:rPr>
              <w:rFonts w:asciiTheme="minorHAnsi" w:hAnsiTheme="minorHAnsi" w:eastAsiaTheme="minorEastAsia" w:cstheme="minorBidi"/>
              <w:szCs w:val="22"/>
            </w:rPr>
          </w:pPr>
          <w:r>
            <w:fldChar w:fldCharType="begin"/>
          </w:r>
          <w:r>
            <w:instrText xml:space="preserve"> HYPERLINK \l "_Toc41309526" </w:instrText>
          </w:r>
          <w:r>
            <w:fldChar w:fldCharType="separate"/>
          </w:r>
          <w:r>
            <w:rPr>
              <w:rStyle w:val="20"/>
              <w:rFonts w:hint="eastAsia" w:ascii="黑体" w:hAnsi="宋体" w:eastAsia="黑体"/>
            </w:rPr>
            <w:t>六、项目管理机构</w:t>
          </w:r>
          <w:r>
            <w:tab/>
          </w:r>
          <w:r>
            <w:fldChar w:fldCharType="begin"/>
          </w:r>
          <w:r>
            <w:instrText xml:space="preserve"> PAGEREF _Toc41309526 \h </w:instrText>
          </w:r>
          <w:r>
            <w:fldChar w:fldCharType="separate"/>
          </w:r>
          <w:r>
            <w:t>67</w:t>
          </w:r>
          <w:r>
            <w:fldChar w:fldCharType="end"/>
          </w:r>
          <w:r>
            <w:fldChar w:fldCharType="end"/>
          </w:r>
        </w:p>
        <w:p>
          <w:pPr>
            <w:pStyle w:val="12"/>
            <w:tabs>
              <w:tab w:val="right" w:leader="dot" w:pos="9628"/>
            </w:tabs>
            <w:rPr>
              <w:rFonts w:asciiTheme="minorHAnsi" w:hAnsiTheme="minorHAnsi" w:eastAsiaTheme="minorEastAsia" w:cstheme="minorBidi"/>
              <w:szCs w:val="22"/>
            </w:rPr>
          </w:pPr>
          <w:r>
            <w:fldChar w:fldCharType="begin"/>
          </w:r>
          <w:r>
            <w:instrText xml:space="preserve"> HYPERLINK \l "_Toc41309527" </w:instrText>
          </w:r>
          <w:r>
            <w:fldChar w:fldCharType="separate"/>
          </w:r>
          <w:r>
            <w:rPr>
              <w:rStyle w:val="20"/>
              <w:rFonts w:hint="eastAsia" w:ascii="黑体" w:hAnsi="宋体" w:eastAsia="黑体"/>
            </w:rPr>
            <w:t>（一）项目管理机构组成表</w:t>
          </w:r>
          <w:r>
            <w:tab/>
          </w:r>
          <w:r>
            <w:fldChar w:fldCharType="begin"/>
          </w:r>
          <w:r>
            <w:instrText xml:space="preserve"> PAGEREF _Toc41309527 \h </w:instrText>
          </w:r>
          <w:r>
            <w:fldChar w:fldCharType="separate"/>
          </w:r>
          <w:r>
            <w:t>67</w:t>
          </w:r>
          <w:r>
            <w:fldChar w:fldCharType="end"/>
          </w:r>
          <w:r>
            <w:fldChar w:fldCharType="end"/>
          </w:r>
        </w:p>
        <w:p>
          <w:pPr>
            <w:pStyle w:val="12"/>
            <w:tabs>
              <w:tab w:val="right" w:leader="dot" w:pos="9628"/>
            </w:tabs>
            <w:rPr>
              <w:rFonts w:asciiTheme="minorHAnsi" w:hAnsiTheme="minorHAnsi" w:eastAsiaTheme="minorEastAsia" w:cstheme="minorBidi"/>
              <w:szCs w:val="22"/>
            </w:rPr>
          </w:pPr>
          <w:r>
            <w:fldChar w:fldCharType="begin"/>
          </w:r>
          <w:r>
            <w:instrText xml:space="preserve"> HYPERLINK \l "_Toc41309528" </w:instrText>
          </w:r>
          <w:r>
            <w:fldChar w:fldCharType="separate"/>
          </w:r>
          <w:r>
            <w:rPr>
              <w:rStyle w:val="20"/>
              <w:rFonts w:hint="eastAsia" w:ascii="黑体" w:hAnsi="宋体" w:eastAsia="黑体"/>
            </w:rPr>
            <w:t>（二）主要人员简历表</w:t>
          </w:r>
          <w:r>
            <w:tab/>
          </w:r>
          <w:r>
            <w:fldChar w:fldCharType="begin"/>
          </w:r>
          <w:r>
            <w:instrText xml:space="preserve"> PAGEREF _Toc41309528 \h </w:instrText>
          </w:r>
          <w:r>
            <w:fldChar w:fldCharType="separate"/>
          </w:r>
          <w:r>
            <w:t>68</w:t>
          </w:r>
          <w:r>
            <w:fldChar w:fldCharType="end"/>
          </w:r>
          <w:r>
            <w:fldChar w:fldCharType="end"/>
          </w:r>
        </w:p>
        <w:p>
          <w:pPr>
            <w:pStyle w:val="12"/>
            <w:tabs>
              <w:tab w:val="right" w:leader="dot" w:pos="9628"/>
            </w:tabs>
            <w:rPr>
              <w:rFonts w:asciiTheme="minorHAnsi" w:hAnsiTheme="minorHAnsi" w:eastAsiaTheme="minorEastAsia" w:cstheme="minorBidi"/>
              <w:szCs w:val="22"/>
            </w:rPr>
          </w:pPr>
          <w:r>
            <w:fldChar w:fldCharType="begin"/>
          </w:r>
          <w:r>
            <w:instrText xml:space="preserve"> HYPERLINK \l "_Toc41309529" </w:instrText>
          </w:r>
          <w:r>
            <w:fldChar w:fldCharType="separate"/>
          </w:r>
          <w:r>
            <w:rPr>
              <w:rStyle w:val="20"/>
              <w:rFonts w:hint="eastAsia" w:ascii="黑体" w:hAnsi="宋体" w:eastAsia="黑体"/>
            </w:rPr>
            <w:t>七、资格审查资料</w:t>
          </w:r>
          <w:r>
            <w:tab/>
          </w:r>
          <w:r>
            <w:fldChar w:fldCharType="begin"/>
          </w:r>
          <w:r>
            <w:instrText xml:space="preserve"> PAGEREF _Toc41309529 \h </w:instrText>
          </w:r>
          <w:r>
            <w:fldChar w:fldCharType="separate"/>
          </w:r>
          <w:r>
            <w:t>69</w:t>
          </w:r>
          <w:r>
            <w:fldChar w:fldCharType="end"/>
          </w:r>
          <w:r>
            <w:fldChar w:fldCharType="end"/>
          </w:r>
        </w:p>
        <w:p>
          <w:pPr>
            <w:pStyle w:val="12"/>
            <w:tabs>
              <w:tab w:val="right" w:leader="dot" w:pos="9628"/>
            </w:tabs>
            <w:rPr>
              <w:rFonts w:asciiTheme="minorHAnsi" w:hAnsiTheme="minorHAnsi" w:eastAsiaTheme="minorEastAsia" w:cstheme="minorBidi"/>
              <w:szCs w:val="22"/>
            </w:rPr>
          </w:pPr>
          <w:r>
            <w:fldChar w:fldCharType="begin"/>
          </w:r>
          <w:r>
            <w:instrText xml:space="preserve"> HYPERLINK \l "_Toc41309530" </w:instrText>
          </w:r>
          <w:r>
            <w:fldChar w:fldCharType="separate"/>
          </w:r>
          <w:r>
            <w:rPr>
              <w:rStyle w:val="20"/>
              <w:rFonts w:hint="eastAsia" w:ascii="黑体" w:hAnsi="宋体" w:eastAsia="黑体"/>
            </w:rPr>
            <w:t>（一）投标人基本情况表</w:t>
          </w:r>
          <w:r>
            <w:tab/>
          </w:r>
          <w:r>
            <w:fldChar w:fldCharType="begin"/>
          </w:r>
          <w:r>
            <w:instrText xml:space="preserve"> PAGEREF _Toc41309530 \h </w:instrText>
          </w:r>
          <w:r>
            <w:fldChar w:fldCharType="separate"/>
          </w:r>
          <w:r>
            <w:t>69</w:t>
          </w:r>
          <w:r>
            <w:fldChar w:fldCharType="end"/>
          </w:r>
          <w:r>
            <w:fldChar w:fldCharType="end"/>
          </w:r>
        </w:p>
        <w:p>
          <w:pPr>
            <w:pStyle w:val="12"/>
            <w:tabs>
              <w:tab w:val="right" w:leader="dot" w:pos="9628"/>
            </w:tabs>
            <w:rPr>
              <w:rFonts w:asciiTheme="minorHAnsi" w:hAnsiTheme="minorHAnsi" w:eastAsiaTheme="minorEastAsia" w:cstheme="minorBidi"/>
              <w:szCs w:val="22"/>
            </w:rPr>
          </w:pPr>
          <w:r>
            <w:fldChar w:fldCharType="begin"/>
          </w:r>
          <w:r>
            <w:instrText xml:space="preserve"> HYPERLINK \l "_Toc41309531" </w:instrText>
          </w:r>
          <w:r>
            <w:fldChar w:fldCharType="separate"/>
          </w:r>
          <w:r>
            <w:rPr>
              <w:rStyle w:val="20"/>
              <w:rFonts w:hint="eastAsia" w:ascii="黑体" w:hAnsi="宋体" w:eastAsia="黑体"/>
            </w:rPr>
            <w:t>（二）近年财务状况表</w:t>
          </w:r>
          <w:r>
            <w:tab/>
          </w:r>
          <w:r>
            <w:fldChar w:fldCharType="begin"/>
          </w:r>
          <w:r>
            <w:instrText xml:space="preserve"> PAGEREF _Toc41309531 \h </w:instrText>
          </w:r>
          <w:r>
            <w:fldChar w:fldCharType="separate"/>
          </w:r>
          <w:r>
            <w:t>70</w:t>
          </w:r>
          <w:r>
            <w:fldChar w:fldCharType="end"/>
          </w:r>
          <w:r>
            <w:fldChar w:fldCharType="end"/>
          </w:r>
        </w:p>
        <w:p>
          <w:pPr>
            <w:pStyle w:val="12"/>
            <w:tabs>
              <w:tab w:val="right" w:leader="dot" w:pos="9628"/>
            </w:tabs>
            <w:rPr>
              <w:rFonts w:asciiTheme="minorHAnsi" w:hAnsiTheme="minorHAnsi" w:eastAsiaTheme="minorEastAsia" w:cstheme="minorBidi"/>
              <w:szCs w:val="22"/>
            </w:rPr>
          </w:pPr>
          <w:r>
            <w:fldChar w:fldCharType="begin"/>
          </w:r>
          <w:r>
            <w:instrText xml:space="preserve"> HYPERLINK \l "_Toc41309532" </w:instrText>
          </w:r>
          <w:r>
            <w:fldChar w:fldCharType="separate"/>
          </w:r>
          <w:r>
            <w:rPr>
              <w:rStyle w:val="20"/>
              <w:rFonts w:hint="eastAsia" w:ascii="黑体" w:hAnsi="宋体" w:eastAsia="黑体"/>
            </w:rPr>
            <w:t>（三）近年代建的类似项目情况表</w:t>
          </w:r>
          <w:r>
            <w:tab/>
          </w:r>
          <w:r>
            <w:fldChar w:fldCharType="begin"/>
          </w:r>
          <w:r>
            <w:instrText xml:space="preserve"> PAGEREF _Toc41309532 \h </w:instrText>
          </w:r>
          <w:r>
            <w:fldChar w:fldCharType="separate"/>
          </w:r>
          <w:r>
            <w:t>71</w:t>
          </w:r>
          <w:r>
            <w:fldChar w:fldCharType="end"/>
          </w:r>
          <w:r>
            <w:fldChar w:fldCharType="end"/>
          </w:r>
        </w:p>
        <w:p>
          <w:pPr>
            <w:pStyle w:val="12"/>
            <w:tabs>
              <w:tab w:val="right" w:leader="dot" w:pos="9628"/>
            </w:tabs>
            <w:rPr>
              <w:rFonts w:asciiTheme="minorHAnsi" w:hAnsiTheme="minorHAnsi" w:eastAsiaTheme="minorEastAsia" w:cstheme="minorBidi"/>
              <w:szCs w:val="22"/>
            </w:rPr>
          </w:pPr>
          <w:r>
            <w:fldChar w:fldCharType="begin"/>
          </w:r>
          <w:r>
            <w:instrText xml:space="preserve"> HYPERLINK \l "_Toc41309533" </w:instrText>
          </w:r>
          <w:r>
            <w:fldChar w:fldCharType="separate"/>
          </w:r>
          <w:r>
            <w:rPr>
              <w:rStyle w:val="20"/>
              <w:rFonts w:hint="eastAsia" w:ascii="黑体" w:hAnsi="宋体" w:eastAsia="黑体"/>
            </w:rPr>
            <w:t>（四）近年发生的诉讼和仲裁情况</w:t>
          </w:r>
          <w:r>
            <w:tab/>
          </w:r>
          <w:r>
            <w:fldChar w:fldCharType="begin"/>
          </w:r>
          <w:r>
            <w:instrText xml:space="preserve"> PAGEREF _Toc41309533 \h </w:instrText>
          </w:r>
          <w:r>
            <w:fldChar w:fldCharType="separate"/>
          </w:r>
          <w:r>
            <w:t>72</w:t>
          </w:r>
          <w:r>
            <w:fldChar w:fldCharType="end"/>
          </w:r>
          <w:r>
            <w:fldChar w:fldCharType="end"/>
          </w:r>
        </w:p>
        <w:p>
          <w:pPr>
            <w:pStyle w:val="12"/>
            <w:tabs>
              <w:tab w:val="right" w:leader="dot" w:pos="9628"/>
            </w:tabs>
            <w:rPr>
              <w:rFonts w:asciiTheme="minorHAnsi" w:hAnsiTheme="minorHAnsi" w:eastAsiaTheme="minorEastAsia" w:cstheme="minorBidi"/>
              <w:szCs w:val="22"/>
            </w:rPr>
          </w:pPr>
          <w:r>
            <w:fldChar w:fldCharType="begin"/>
          </w:r>
          <w:r>
            <w:instrText xml:space="preserve"> HYPERLINK \l "_Toc41309534" </w:instrText>
          </w:r>
          <w:r>
            <w:fldChar w:fldCharType="separate"/>
          </w:r>
          <w:r>
            <w:rPr>
              <w:rStyle w:val="20"/>
              <w:rFonts w:hint="eastAsia" w:ascii="黑体" w:hAnsi="宋体" w:eastAsia="黑体"/>
            </w:rPr>
            <w:t>（五）企业其他信誉情况表</w:t>
          </w:r>
          <w:r>
            <w:rPr>
              <w:rStyle w:val="20"/>
              <w:rFonts w:hint="eastAsia" w:ascii="楷体_GB2312" w:hAnsi="宋体" w:eastAsia="楷体_GB2312"/>
            </w:rPr>
            <w:t>（年份要求同诉讼及仲裁情况年份要求）</w:t>
          </w:r>
          <w:r>
            <w:tab/>
          </w:r>
          <w:r>
            <w:fldChar w:fldCharType="begin"/>
          </w:r>
          <w:r>
            <w:instrText xml:space="preserve"> PAGEREF _Toc41309534 \h </w:instrText>
          </w:r>
          <w:r>
            <w:fldChar w:fldCharType="separate"/>
          </w:r>
          <w:r>
            <w:t>73</w:t>
          </w:r>
          <w:r>
            <w:fldChar w:fldCharType="end"/>
          </w:r>
          <w:r>
            <w:fldChar w:fldCharType="end"/>
          </w:r>
        </w:p>
        <w:p>
          <w:pPr>
            <w:pStyle w:val="12"/>
            <w:tabs>
              <w:tab w:val="right" w:leader="dot" w:pos="9628"/>
            </w:tabs>
            <w:rPr>
              <w:rFonts w:asciiTheme="minorHAnsi" w:hAnsiTheme="minorHAnsi" w:eastAsiaTheme="minorEastAsia" w:cstheme="minorBidi"/>
              <w:szCs w:val="22"/>
            </w:rPr>
          </w:pPr>
          <w:r>
            <w:fldChar w:fldCharType="begin"/>
          </w:r>
          <w:r>
            <w:instrText xml:space="preserve"> HYPERLINK \l "_Toc41309535" </w:instrText>
          </w:r>
          <w:r>
            <w:fldChar w:fldCharType="separate"/>
          </w:r>
          <w:r>
            <w:rPr>
              <w:rStyle w:val="20"/>
              <w:rFonts w:hint="eastAsia" w:ascii="黑体" w:hAnsi="宋体" w:eastAsia="黑体"/>
            </w:rPr>
            <w:t>八、其他材料</w:t>
          </w:r>
          <w:r>
            <w:tab/>
          </w:r>
          <w:r>
            <w:fldChar w:fldCharType="begin"/>
          </w:r>
          <w:r>
            <w:instrText xml:space="preserve"> PAGEREF _Toc41309535 \h </w:instrText>
          </w:r>
          <w:r>
            <w:fldChar w:fldCharType="separate"/>
          </w:r>
          <w:r>
            <w:t>74</w:t>
          </w:r>
          <w:r>
            <w:fldChar w:fldCharType="end"/>
          </w:r>
          <w:r>
            <w:fldChar w:fldCharType="end"/>
          </w:r>
        </w:p>
        <w:p>
          <w:r>
            <w:rPr>
              <w:b/>
              <w:bCs/>
              <w:sz w:val="24"/>
              <w:lang w:val="zh-CN"/>
            </w:rPr>
            <w:fldChar w:fldCharType="end"/>
          </w:r>
        </w:p>
      </w:sdtContent>
    </w:sdt>
    <w:p>
      <w:pPr>
        <w:pStyle w:val="35"/>
        <w:tabs>
          <w:tab w:val="right" w:leader="dot" w:pos="9180"/>
        </w:tabs>
      </w:pPr>
    </w:p>
    <w:p>
      <w:pPr>
        <w:jc w:val="center"/>
        <w:rPr>
          <w:rFonts w:ascii="黑体" w:eastAsia="黑体"/>
          <w:sz w:val="48"/>
          <w:szCs w:val="48"/>
        </w:rPr>
      </w:pPr>
    </w:p>
    <w:p>
      <w:pPr>
        <w:rPr>
          <w:rFonts w:ascii="黑体" w:eastAsia="黑体"/>
          <w:sz w:val="48"/>
          <w:szCs w:val="48"/>
        </w:rPr>
      </w:pPr>
    </w:p>
    <w:p>
      <w:pPr>
        <w:pStyle w:val="2"/>
        <w:spacing w:line="240" w:lineRule="auto"/>
        <w:jc w:val="center"/>
        <w:rPr>
          <w:rFonts w:ascii="黑体" w:eastAsia="黑体"/>
          <w:b w:val="0"/>
          <w:kern w:val="0"/>
        </w:rPr>
      </w:pPr>
      <w:bookmarkStart w:id="0" w:name="_Toc41309508"/>
      <w:r>
        <w:rPr>
          <w:rFonts w:hint="eastAsia" w:ascii="黑体" w:eastAsia="黑体"/>
          <w:b w:val="0"/>
          <w:kern w:val="0"/>
        </w:rPr>
        <w:t>第一卷</w:t>
      </w:r>
      <w:bookmarkEnd w:id="0"/>
    </w:p>
    <w:p>
      <w:pPr>
        <w:pStyle w:val="2"/>
        <w:spacing w:line="240" w:lineRule="auto"/>
        <w:jc w:val="center"/>
        <w:rPr>
          <w:rFonts w:ascii="黑体" w:eastAsia="黑体"/>
          <w:b w:val="0"/>
          <w:kern w:val="0"/>
        </w:rPr>
      </w:pPr>
      <w:bookmarkStart w:id="1" w:name="_Toc30745"/>
      <w:bookmarkStart w:id="2" w:name="_Toc31754"/>
      <w:bookmarkStart w:id="3" w:name="_Toc41309509"/>
      <w:r>
        <w:rPr>
          <w:rFonts w:hint="eastAsia" w:ascii="黑体" w:eastAsia="黑体"/>
          <w:b w:val="0"/>
          <w:kern w:val="0"/>
        </w:rPr>
        <w:t>第一章  招标公告（未进行资格预审）</w:t>
      </w:r>
      <w:bookmarkEnd w:id="1"/>
      <w:bookmarkEnd w:id="2"/>
      <w:bookmarkEnd w:id="3"/>
    </w:p>
    <w:p>
      <w:pPr>
        <w:spacing w:line="600" w:lineRule="exact"/>
        <w:jc w:val="center"/>
        <w:rPr>
          <w:rFonts w:ascii="宋体"/>
          <w:b/>
          <w:sz w:val="24"/>
        </w:rPr>
      </w:pPr>
      <w:r>
        <w:rPr>
          <w:rFonts w:hint="eastAsia" w:ascii="宋体" w:hAnsi="宋体"/>
          <w:b/>
          <w:sz w:val="24"/>
        </w:rPr>
        <w:t>三亚西河（辽家坡路—槟榔村）河岸景观工程（代建管理）招标公告</w:t>
      </w:r>
    </w:p>
    <w:p>
      <w:pPr>
        <w:widowControl/>
        <w:spacing w:line="360" w:lineRule="auto"/>
        <w:ind w:firstLine="413" w:firstLineChars="196"/>
        <w:rPr>
          <w:rFonts w:ascii="宋体" w:cs="宋体"/>
          <w:b/>
          <w:kern w:val="0"/>
        </w:rPr>
      </w:pPr>
      <w:r>
        <w:rPr>
          <w:rFonts w:ascii="宋体" w:hAnsi="宋体" w:cs="宋体"/>
          <w:b/>
          <w:kern w:val="0"/>
        </w:rPr>
        <w:t>1</w:t>
      </w:r>
      <w:r>
        <w:rPr>
          <w:rFonts w:hint="eastAsia" w:ascii="宋体" w:hAnsi="宋体" w:cs="宋体"/>
          <w:b/>
          <w:kern w:val="0"/>
        </w:rPr>
        <w:t>．招标条件</w:t>
      </w:r>
    </w:p>
    <w:p>
      <w:pPr>
        <w:widowControl/>
        <w:spacing w:line="360" w:lineRule="auto"/>
        <w:ind w:firstLine="411" w:firstLineChars="196"/>
        <w:rPr>
          <w:rFonts w:ascii="宋体" w:hAnsi="宋体"/>
          <w:bCs/>
          <w:szCs w:val="21"/>
        </w:rPr>
      </w:pPr>
      <w:r>
        <w:rPr>
          <w:rFonts w:hint="eastAsia" w:ascii="宋体" w:hAnsi="宋体"/>
          <w:szCs w:val="21"/>
        </w:rPr>
        <w:t>本招标项目</w:t>
      </w:r>
      <w:r>
        <w:rPr>
          <w:rFonts w:hint="eastAsia" w:ascii="宋体" w:hAnsi="宋体"/>
          <w:b/>
          <w:szCs w:val="21"/>
          <w:u w:val="single"/>
        </w:rPr>
        <w:t>三亚西河（辽家坡路—槟榔村）河岸景观工程</w:t>
      </w:r>
      <w:r>
        <w:rPr>
          <w:rFonts w:hint="eastAsia" w:ascii="宋体" w:hAnsi="宋体"/>
          <w:bCs/>
          <w:szCs w:val="21"/>
        </w:rPr>
        <w:t>，</w:t>
      </w:r>
      <w:r>
        <w:rPr>
          <w:rFonts w:hint="eastAsia" w:ascii="宋体" w:hAnsi="宋体"/>
          <w:szCs w:val="21"/>
        </w:rPr>
        <w:t>已由</w:t>
      </w:r>
      <w:r>
        <w:rPr>
          <w:rFonts w:hint="eastAsia" w:ascii="宋体" w:hAnsi="宋体"/>
          <w:b/>
          <w:szCs w:val="21"/>
          <w:u w:val="single"/>
        </w:rPr>
        <w:t>三亚市发展和改革委员会</w:t>
      </w:r>
      <w:r>
        <w:rPr>
          <w:rFonts w:hint="eastAsia" w:ascii="宋体" w:hAnsi="宋体"/>
          <w:bCs/>
          <w:szCs w:val="21"/>
        </w:rPr>
        <w:t>（项目审批、核准或备案机关名称）</w:t>
      </w:r>
      <w:r>
        <w:rPr>
          <w:rFonts w:hint="eastAsia" w:ascii="宋体" w:hAnsi="宋体"/>
          <w:szCs w:val="21"/>
        </w:rPr>
        <w:t>以</w:t>
      </w:r>
      <w:r>
        <w:rPr>
          <w:rFonts w:hint="eastAsia" w:ascii="宋体" w:hAnsi="宋体"/>
          <w:b/>
          <w:szCs w:val="21"/>
          <w:u w:val="single"/>
        </w:rPr>
        <w:t>三发改投〔2020〕110号</w:t>
      </w:r>
      <w:r>
        <w:rPr>
          <w:rFonts w:hint="eastAsia" w:ascii="宋体" w:hAnsi="宋体"/>
          <w:szCs w:val="21"/>
        </w:rPr>
        <w:t>（批</w:t>
      </w:r>
      <w:r>
        <w:rPr>
          <w:rFonts w:hint="eastAsia" w:ascii="宋体" w:hAnsi="宋体"/>
          <w:bCs/>
          <w:szCs w:val="21"/>
        </w:rPr>
        <w:t>文名称及编号）文件批准建设，项目业主为三亚市天涯区农业农村局</w:t>
      </w:r>
      <w:r>
        <w:rPr>
          <w:rFonts w:hint="eastAsia" w:ascii="宋体" w:hAnsi="宋体"/>
          <w:szCs w:val="21"/>
        </w:rPr>
        <w:t>，资金来源为</w:t>
      </w:r>
      <w:r>
        <w:rPr>
          <w:rFonts w:hint="eastAsia" w:ascii="宋体" w:hAnsi="宋体"/>
          <w:b/>
          <w:szCs w:val="21"/>
          <w:u w:val="single"/>
        </w:rPr>
        <w:t>政府投资</w:t>
      </w:r>
      <w:r>
        <w:rPr>
          <w:rFonts w:hint="eastAsia" w:ascii="宋体" w:hAnsi="宋体"/>
          <w:bCs/>
          <w:szCs w:val="21"/>
        </w:rPr>
        <w:t>，项目出资比例为</w:t>
      </w:r>
      <w:r>
        <w:rPr>
          <w:rFonts w:hint="eastAsia" w:ascii="宋体" w:hAnsi="宋体"/>
          <w:b/>
          <w:szCs w:val="21"/>
          <w:u w:val="single"/>
        </w:rPr>
        <w:t>100%</w:t>
      </w:r>
      <w:r>
        <w:rPr>
          <w:rFonts w:hint="eastAsia" w:ascii="宋体" w:hAnsi="宋体"/>
          <w:szCs w:val="21"/>
        </w:rPr>
        <w:t>（出资比例）</w:t>
      </w:r>
      <w:r>
        <w:rPr>
          <w:rFonts w:hint="eastAsia" w:ascii="宋体" w:hAnsi="宋体"/>
          <w:bCs/>
          <w:szCs w:val="21"/>
        </w:rPr>
        <w:t>。项目已具备招标条件，现对该项目的</w:t>
      </w:r>
      <w:r>
        <w:rPr>
          <w:rFonts w:hint="eastAsia" w:ascii="宋体" w:hAnsi="宋体"/>
          <w:bCs/>
          <w:szCs w:val="21"/>
          <w:u w:val="single"/>
        </w:rPr>
        <w:t>代建管理</w:t>
      </w:r>
      <w:r>
        <w:rPr>
          <w:rFonts w:hint="eastAsia" w:ascii="宋体" w:hAnsi="宋体"/>
          <w:bCs/>
          <w:szCs w:val="21"/>
        </w:rPr>
        <w:t>进行公开招标，请有意向的潜在投标人参与投标。</w:t>
      </w:r>
    </w:p>
    <w:p>
      <w:pPr>
        <w:widowControl/>
        <w:spacing w:line="360" w:lineRule="auto"/>
        <w:ind w:firstLine="413" w:firstLineChars="196"/>
        <w:rPr>
          <w:rFonts w:ascii="宋体" w:cs="宋体"/>
          <w:b/>
          <w:kern w:val="0"/>
        </w:rPr>
      </w:pPr>
      <w:r>
        <w:rPr>
          <w:rFonts w:ascii="宋体" w:hAnsi="宋体" w:cs="宋体"/>
          <w:b/>
          <w:kern w:val="0"/>
        </w:rPr>
        <w:t>2</w:t>
      </w:r>
      <w:r>
        <w:rPr>
          <w:rFonts w:hint="eastAsia" w:ascii="宋体" w:hAnsi="宋体" w:cs="宋体"/>
          <w:b/>
          <w:kern w:val="0"/>
        </w:rPr>
        <w:t>．项目概况与招标范围</w:t>
      </w:r>
      <w:r>
        <w:rPr>
          <w:rFonts w:ascii="宋体" w:hAnsi="宋体" w:cs="宋体"/>
          <w:b/>
          <w:kern w:val="0"/>
        </w:rPr>
        <w:t xml:space="preserve"> </w:t>
      </w:r>
    </w:p>
    <w:p>
      <w:pPr>
        <w:widowControl/>
        <w:spacing w:line="360" w:lineRule="auto"/>
        <w:ind w:firstLine="411" w:firstLineChars="196"/>
        <w:rPr>
          <w:rFonts w:ascii="宋体" w:hAnsi="宋体"/>
        </w:rPr>
      </w:pPr>
      <w:r>
        <w:rPr>
          <w:rFonts w:ascii="宋体" w:hAnsi="宋体"/>
        </w:rPr>
        <w:t>2.1</w:t>
      </w:r>
      <w:r>
        <w:rPr>
          <w:rFonts w:hint="eastAsia" w:ascii="宋体" w:hAnsi="宋体"/>
        </w:rPr>
        <w:t>标段名称：</w:t>
      </w:r>
      <w:r>
        <w:rPr>
          <w:rFonts w:hint="eastAsia" w:ascii="宋体" w:hAnsi="宋体"/>
          <w:b/>
          <w:bCs/>
          <w:u w:val="single"/>
        </w:rPr>
        <w:t>三亚西河（辽家坡路—槟榔村）河岸景观工程（代建管理）</w:t>
      </w:r>
      <w:r>
        <w:rPr>
          <w:rFonts w:hint="eastAsia" w:ascii="宋体" w:hAnsi="宋体"/>
          <w:b/>
          <w:u w:val="single"/>
        </w:rPr>
        <w:t>。</w:t>
      </w:r>
    </w:p>
    <w:p>
      <w:pPr>
        <w:spacing w:line="360" w:lineRule="auto"/>
        <w:ind w:firstLine="420" w:firstLineChars="200"/>
        <w:rPr>
          <w:rFonts w:ascii="宋体" w:hAnsi="宋体"/>
          <w:b/>
          <w:u w:val="single"/>
        </w:rPr>
      </w:pPr>
      <w:r>
        <w:rPr>
          <w:rFonts w:ascii="宋体" w:hAnsi="宋体"/>
        </w:rPr>
        <w:t xml:space="preserve">2.2 </w:t>
      </w:r>
      <w:r>
        <w:rPr>
          <w:rFonts w:hint="eastAsia" w:ascii="宋体" w:hAnsi="宋体"/>
        </w:rPr>
        <w:t>项目概况：</w:t>
      </w:r>
      <w:r>
        <w:rPr>
          <w:rFonts w:hint="eastAsia" w:ascii="宋体" w:hAnsi="宋体"/>
          <w:b/>
          <w:u w:val="single"/>
        </w:rPr>
        <w:t>全长3.0公里，土方工程、园建工程、给排水工程、电气工程、绿化工程及智慧城市系统工程。</w:t>
      </w:r>
    </w:p>
    <w:p>
      <w:pPr>
        <w:spacing w:line="360" w:lineRule="auto"/>
        <w:ind w:firstLine="420" w:firstLineChars="200"/>
        <w:rPr>
          <w:rFonts w:ascii="宋体" w:hAnsi="宋体"/>
          <w:b/>
          <w:u w:val="single"/>
        </w:rPr>
      </w:pPr>
      <w:r>
        <w:rPr>
          <w:rFonts w:ascii="宋体" w:hAnsi="宋体"/>
        </w:rPr>
        <w:t>2.3</w:t>
      </w:r>
      <w:r>
        <w:rPr>
          <w:rFonts w:hint="eastAsia" w:ascii="宋体" w:hAnsi="宋体"/>
        </w:rPr>
        <w:t>项目地点：</w:t>
      </w:r>
      <w:r>
        <w:rPr>
          <w:rFonts w:hint="eastAsia" w:ascii="宋体" w:hAnsi="宋体" w:cs="TimesNewRomanPSMT"/>
          <w:b/>
          <w:kern w:val="0"/>
          <w:szCs w:val="21"/>
          <w:u w:val="single"/>
        </w:rPr>
        <w:t>三亚西河（辽家坡路—槟榔村）。</w:t>
      </w:r>
    </w:p>
    <w:p>
      <w:pPr>
        <w:spacing w:line="360" w:lineRule="auto"/>
        <w:ind w:firstLine="420" w:firstLineChars="200"/>
        <w:rPr>
          <w:rFonts w:ascii="宋体" w:hAnsi="宋体"/>
          <w:b/>
        </w:rPr>
      </w:pPr>
      <w:r>
        <w:rPr>
          <w:rFonts w:ascii="宋体" w:hAnsi="宋体"/>
        </w:rPr>
        <w:t>2.</w:t>
      </w:r>
      <w:r>
        <w:rPr>
          <w:rFonts w:hint="eastAsia" w:ascii="宋体" w:hAnsi="宋体"/>
        </w:rPr>
        <w:t>4招标控制价：</w:t>
      </w:r>
      <w:r>
        <w:rPr>
          <w:rFonts w:hint="eastAsia" w:ascii="宋体" w:hAnsi="宋体"/>
          <w:b/>
        </w:rPr>
        <w:t>962200.00元。此</w:t>
      </w:r>
      <w:r>
        <w:rPr>
          <w:rFonts w:hint="eastAsia" w:ascii="宋体" w:hAnsi="宋体" w:cs="TimesNewRomanPSMT"/>
          <w:b/>
          <w:kern w:val="0"/>
          <w:szCs w:val="21"/>
        </w:rPr>
        <w:t>招标控制价为按项目估算投资以全过程代建管理正常取费计算后的暂估价,签约合同价按三亚市发改委批复的初步设计概算总投资作为代建管理费取费基数,最终以结算价为准。</w:t>
      </w:r>
      <w:r>
        <w:rPr>
          <w:rFonts w:ascii="宋体" w:hAnsi="宋体"/>
          <w:b/>
        </w:rPr>
        <w:t xml:space="preserve"> </w:t>
      </w:r>
    </w:p>
    <w:p>
      <w:pPr>
        <w:spacing w:line="360" w:lineRule="auto"/>
        <w:ind w:firstLine="420" w:firstLineChars="200"/>
        <w:rPr>
          <w:rFonts w:ascii="宋体"/>
          <w:szCs w:val="21"/>
        </w:rPr>
      </w:pPr>
      <w:r>
        <w:rPr>
          <w:rFonts w:hint="eastAsia" w:ascii="宋体" w:hAnsi="宋体"/>
        </w:rPr>
        <w:t>2.5计划工期：</w:t>
      </w:r>
      <w:r>
        <w:rPr>
          <w:rFonts w:ascii="宋体" w:hAnsi="宋体"/>
          <w:b/>
          <w:u w:val="single"/>
        </w:rPr>
        <w:t>720</w:t>
      </w:r>
      <w:r>
        <w:rPr>
          <w:rFonts w:hint="eastAsia" w:ascii="宋体" w:hAnsi="宋体"/>
          <w:b/>
          <w:u w:val="single"/>
        </w:rPr>
        <w:t>日历天</w:t>
      </w:r>
      <w:r>
        <w:rPr>
          <w:rFonts w:ascii="宋体" w:hAnsi="宋体"/>
          <w:b/>
          <w:u w:val="single"/>
        </w:rPr>
        <w:t xml:space="preserve"> </w:t>
      </w:r>
    </w:p>
    <w:p>
      <w:pPr>
        <w:spacing w:line="360" w:lineRule="auto"/>
        <w:ind w:firstLine="420" w:firstLineChars="200"/>
        <w:rPr>
          <w:rFonts w:ascii="宋体" w:hAnsi="宋体"/>
          <w:u w:val="single"/>
        </w:rPr>
      </w:pPr>
      <w:r>
        <w:rPr>
          <w:rFonts w:ascii="宋体" w:hAnsi="宋体"/>
        </w:rPr>
        <w:t>2.</w:t>
      </w:r>
      <w:r>
        <w:rPr>
          <w:rFonts w:hint="eastAsia" w:ascii="宋体" w:hAnsi="宋体"/>
        </w:rPr>
        <w:t>6</w:t>
      </w:r>
      <w:r>
        <w:rPr>
          <w:rFonts w:ascii="宋体" w:hAnsi="宋体"/>
        </w:rPr>
        <w:t xml:space="preserve"> </w:t>
      </w:r>
      <w:r>
        <w:rPr>
          <w:rFonts w:hint="eastAsia" w:ascii="宋体" w:hAnsi="宋体"/>
        </w:rPr>
        <w:t>招标范围：</w:t>
      </w:r>
      <w:r>
        <w:rPr>
          <w:rFonts w:hint="eastAsia" w:ascii="宋体" w:hAnsi="宋体"/>
          <w:b/>
          <w:u w:val="single"/>
        </w:rPr>
        <w:t>全过程代建管理</w:t>
      </w:r>
      <w:r>
        <w:rPr>
          <w:rFonts w:hint="eastAsia" w:ascii="宋体" w:hAnsi="宋体"/>
          <w:u w:val="single"/>
        </w:rPr>
        <w:t>。</w:t>
      </w:r>
    </w:p>
    <w:p>
      <w:pPr>
        <w:spacing w:line="360" w:lineRule="auto"/>
        <w:ind w:firstLine="420" w:firstLineChars="200"/>
        <w:rPr>
          <w:rFonts w:ascii="宋体" w:hAnsi="宋体"/>
        </w:rPr>
      </w:pPr>
      <w:r>
        <w:rPr>
          <w:rFonts w:hint="eastAsia" w:ascii="宋体" w:hAnsi="宋体"/>
        </w:rPr>
        <w:t>2.6质量要求：</w:t>
      </w:r>
      <w:r>
        <w:rPr>
          <w:rFonts w:hint="eastAsia" w:ascii="宋体" w:hAnsi="宋体"/>
          <w:b/>
          <w:u w:val="single"/>
        </w:rPr>
        <w:t>合格。</w:t>
      </w:r>
    </w:p>
    <w:p>
      <w:pPr>
        <w:widowControl/>
        <w:spacing w:line="360" w:lineRule="auto"/>
        <w:ind w:firstLine="422" w:firstLineChars="200"/>
        <w:rPr>
          <w:rFonts w:ascii="宋体" w:cs="宋体"/>
          <w:b/>
          <w:kern w:val="0"/>
        </w:rPr>
      </w:pPr>
      <w:r>
        <w:rPr>
          <w:rFonts w:ascii="宋体" w:hAnsi="宋体" w:cs="宋体"/>
          <w:b/>
          <w:kern w:val="0"/>
        </w:rPr>
        <w:t>3</w:t>
      </w:r>
      <w:r>
        <w:rPr>
          <w:rFonts w:hint="eastAsia" w:ascii="宋体" w:hAnsi="宋体" w:cs="宋体"/>
          <w:b/>
          <w:kern w:val="0"/>
        </w:rPr>
        <w:t>．投标人资格要求</w:t>
      </w:r>
    </w:p>
    <w:p>
      <w:pPr>
        <w:widowControl/>
        <w:spacing w:line="360" w:lineRule="auto"/>
        <w:ind w:firstLine="420" w:firstLineChars="200"/>
        <w:rPr>
          <w:rFonts w:ascii="宋体" w:hAnsi="宋体"/>
          <w:b/>
          <w:bCs/>
          <w:kern w:val="0"/>
          <w:u w:val="single"/>
        </w:rPr>
      </w:pPr>
      <w:r>
        <w:rPr>
          <w:rFonts w:ascii="宋体" w:hAnsi="宋体"/>
          <w:bCs/>
          <w:kern w:val="0"/>
        </w:rPr>
        <w:t>3.1.1</w:t>
      </w:r>
      <w:r>
        <w:rPr>
          <w:rFonts w:hint="eastAsia" w:ascii="宋体" w:hAnsi="宋体"/>
          <w:kern w:val="0"/>
        </w:rPr>
        <w:t>要求投标人须具备：</w:t>
      </w:r>
      <w:r>
        <w:rPr>
          <w:rFonts w:hint="eastAsia" w:ascii="宋体" w:hAnsi="宋体"/>
          <w:b/>
          <w:kern w:val="0"/>
          <w:u w:val="single"/>
        </w:rPr>
        <w:t>(1)</w:t>
      </w:r>
      <w:r>
        <w:rPr>
          <w:rFonts w:hint="eastAsia" w:ascii="宋体" w:hAnsi="宋体"/>
          <w:b/>
          <w:bCs/>
          <w:kern w:val="0"/>
          <w:u w:val="single"/>
        </w:rPr>
        <w:t>具有独立法人资格，并为自负盈亏的经济实体；(2)具有综合甲级工程设计或综合甲级工程监理或施工总承包一级资质或者甲级工程咨询或甲级工程造价咨询资质；(3)具有与同类工程建设管理相适应的组织机构和项目管理体系；(4)具有与工程建设规模和技术要求相适应的技术、造价、财务和管理等方面的专业人员，并具有从事同类工程建设管理经验；(5)具有与项目相适应的资金实力。工程施工单位的注册资金必须在5亿元及以上，工程设计、工程监理、工程咨询单位的注册资金必须在3000万元及以上；（6）持有《海南省建筑企业诚信档案手册》或《海南省建设工程造价咨询企业信用管理手册》，并在海南省数字认证中心办理CA数字证书。</w:t>
      </w:r>
    </w:p>
    <w:p>
      <w:pPr>
        <w:widowControl/>
        <w:spacing w:line="360" w:lineRule="auto"/>
        <w:ind w:firstLine="420" w:firstLineChars="200"/>
        <w:rPr>
          <w:rFonts w:ascii="宋体" w:hAnsi="宋体"/>
          <w:b/>
          <w:bCs/>
          <w:kern w:val="0"/>
          <w:u w:val="single"/>
        </w:rPr>
      </w:pPr>
      <w:r>
        <w:rPr>
          <w:rFonts w:hint="eastAsia" w:ascii="宋体" w:hAnsi="宋体"/>
          <w:bCs/>
          <w:kern w:val="0"/>
          <w:u w:val="single"/>
        </w:rPr>
        <w:t>3.1.</w:t>
      </w:r>
      <w:r>
        <w:rPr>
          <w:rFonts w:ascii="宋体" w:hAnsi="宋体"/>
          <w:bCs/>
          <w:kern w:val="0"/>
          <w:u w:val="single"/>
        </w:rPr>
        <w:t>2</w:t>
      </w:r>
      <w:r>
        <w:rPr>
          <w:rFonts w:hint="eastAsia" w:ascii="宋体" w:hAnsi="宋体"/>
          <w:bCs/>
          <w:kern w:val="0"/>
          <w:u w:val="single"/>
        </w:rPr>
        <w:t>项目负责人：</w:t>
      </w:r>
      <w:r>
        <w:rPr>
          <w:rFonts w:hint="eastAsia" w:ascii="宋体" w:hAnsi="宋体"/>
          <w:b/>
          <w:bCs/>
          <w:kern w:val="0"/>
          <w:u w:val="single"/>
        </w:rPr>
        <w:t xml:space="preserve">具有高级技术职称或具有注册监理工程师、一级建造师、咨询工程师（投资）职业资格且有相关从业经验（其中一项即可）。 </w:t>
      </w:r>
    </w:p>
    <w:p>
      <w:pPr>
        <w:widowControl/>
        <w:spacing w:line="360" w:lineRule="auto"/>
        <w:ind w:firstLine="420" w:firstLineChars="200"/>
        <w:rPr>
          <w:rFonts w:ascii="宋体" w:hAnsi="宋体"/>
          <w:b/>
          <w:kern w:val="0"/>
          <w:u w:val="single"/>
        </w:rPr>
      </w:pPr>
      <w:r>
        <w:rPr>
          <w:rFonts w:hint="eastAsia" w:ascii="宋体" w:hAnsi="宋体"/>
          <w:bCs/>
          <w:kern w:val="0"/>
          <w:u w:val="single"/>
        </w:rPr>
        <w:t>3.1.</w:t>
      </w:r>
      <w:r>
        <w:rPr>
          <w:rFonts w:ascii="宋体" w:hAnsi="宋体"/>
          <w:bCs/>
          <w:kern w:val="0"/>
          <w:u w:val="single"/>
        </w:rPr>
        <w:t>3</w:t>
      </w:r>
      <w:r>
        <w:rPr>
          <w:rFonts w:hint="eastAsia" w:ascii="宋体" w:hAnsi="宋体"/>
          <w:b/>
          <w:bCs/>
          <w:kern w:val="0"/>
          <w:u w:val="single"/>
        </w:rPr>
        <w:t>能严格遵守三亚市政府投资建设项目代建制管理办法的通知三府[2017]320号相关规定。</w:t>
      </w:r>
    </w:p>
    <w:p>
      <w:pPr>
        <w:widowControl/>
        <w:spacing w:line="360" w:lineRule="auto"/>
        <w:ind w:firstLine="420" w:firstLineChars="200"/>
        <w:rPr>
          <w:rFonts w:ascii="宋体" w:hAnsi="宋体"/>
          <w:b/>
          <w:kern w:val="0"/>
          <w:u w:val="single"/>
        </w:rPr>
      </w:pPr>
      <w:r>
        <w:rPr>
          <w:rFonts w:hint="eastAsia" w:ascii="宋体" w:hAnsi="宋体"/>
          <w:kern w:val="0"/>
        </w:rPr>
        <w:t>3.2项目负责人（项目经理）：</w:t>
      </w:r>
      <w:r>
        <w:rPr>
          <w:rFonts w:hint="eastAsia" w:ascii="宋体" w:hAnsi="宋体"/>
          <w:b/>
          <w:kern w:val="0"/>
          <w:u w:val="single"/>
        </w:rPr>
        <w:t>具备高级技术职称或注册监理工程师或一级建造师或咨询工程师（投资）职业资格且有相关从业经验（其中一项即可）。</w:t>
      </w:r>
    </w:p>
    <w:p>
      <w:pPr>
        <w:widowControl/>
        <w:spacing w:line="360" w:lineRule="auto"/>
        <w:ind w:firstLine="420"/>
        <w:rPr>
          <w:rFonts w:ascii="宋体" w:cs="宋体"/>
          <w:color w:val="FF0000"/>
          <w:kern w:val="0"/>
        </w:rPr>
      </w:pPr>
      <w:r>
        <w:rPr>
          <w:rFonts w:ascii="宋体" w:hAnsi="宋体"/>
          <w:kern w:val="0"/>
        </w:rPr>
        <w:t>3.</w:t>
      </w:r>
      <w:bookmarkStart w:id="4" w:name="v接受联合体投标"/>
      <w:bookmarkEnd w:id="4"/>
      <w:r>
        <w:rPr>
          <w:rFonts w:hint="eastAsia" w:ascii="宋体" w:hAnsi="宋体"/>
          <w:kern w:val="0"/>
        </w:rPr>
        <w:t>3本次招标</w:t>
      </w:r>
      <w:r>
        <w:rPr>
          <w:rFonts w:hint="eastAsia" w:ascii="宋体" w:hAnsi="宋体"/>
          <w:b/>
          <w:bCs/>
          <w:kern w:val="0"/>
          <w:u w:val="single"/>
        </w:rPr>
        <w:t xml:space="preserve">不接受 </w:t>
      </w:r>
      <w:r>
        <w:rPr>
          <w:rFonts w:hint="eastAsia" w:ascii="宋体" w:hAnsi="宋体"/>
          <w:kern w:val="0"/>
        </w:rPr>
        <w:t>联合体投标。</w:t>
      </w:r>
    </w:p>
    <w:p>
      <w:pPr>
        <w:widowControl/>
        <w:spacing w:line="360" w:lineRule="auto"/>
        <w:ind w:firstLine="420"/>
        <w:rPr>
          <w:rFonts w:ascii="宋体" w:hAnsi="宋体" w:cs="宋体"/>
          <w:kern w:val="0"/>
        </w:rPr>
      </w:pPr>
      <w:r>
        <w:rPr>
          <w:rFonts w:ascii="宋体" w:hAnsi="宋体" w:cs="宋体"/>
          <w:kern w:val="0"/>
        </w:rPr>
        <w:t>3.</w:t>
      </w:r>
      <w:r>
        <w:rPr>
          <w:rFonts w:hint="eastAsia" w:ascii="宋体" w:hAnsi="宋体" w:cs="宋体"/>
          <w:kern w:val="0"/>
        </w:rPr>
        <w:t>4每个投标人最多可对</w:t>
      </w:r>
      <w:r>
        <w:rPr>
          <w:rFonts w:hint="eastAsia" w:ascii="宋体" w:hAnsi="宋体" w:cs="宋体"/>
          <w:kern w:val="0"/>
          <w:u w:val="single"/>
        </w:rPr>
        <w:t>1</w:t>
      </w:r>
      <w:r>
        <w:rPr>
          <w:rFonts w:hint="eastAsia" w:ascii="宋体" w:hAnsi="宋体" w:cs="宋体"/>
          <w:kern w:val="0"/>
        </w:rPr>
        <w:t>（具体数量）个标段投标，且允许中</w:t>
      </w:r>
      <w:r>
        <w:rPr>
          <w:rFonts w:hint="eastAsia" w:ascii="宋体" w:hAnsi="宋体" w:cs="宋体"/>
          <w:kern w:val="0"/>
          <w:u w:val="single"/>
        </w:rPr>
        <w:t>1</w:t>
      </w:r>
      <w:r>
        <w:rPr>
          <w:rFonts w:hint="eastAsia" w:ascii="宋体" w:hAnsi="宋体" w:cs="宋体"/>
          <w:kern w:val="0"/>
        </w:rPr>
        <w:t>个标段(适用于分标段的招标项目)。</w:t>
      </w:r>
    </w:p>
    <w:p>
      <w:pPr>
        <w:widowControl/>
        <w:spacing w:line="360" w:lineRule="auto"/>
        <w:ind w:firstLine="420"/>
        <w:rPr>
          <w:rFonts w:ascii="宋体" w:hAnsi="宋体" w:cs="宋体"/>
          <w:kern w:val="0"/>
        </w:rPr>
      </w:pPr>
      <w:r>
        <w:rPr>
          <w:rFonts w:hint="eastAsia" w:ascii="宋体" w:hAnsi="宋体" w:cs="宋体"/>
          <w:kern w:val="0"/>
        </w:rPr>
        <w:t>3.5持有《海南省建筑企业诚信档案手册》或《海南省建设工程造价咨询企业信用管理手册》，并在海南省数字认证中心办理CA数字证书。</w:t>
      </w:r>
    </w:p>
    <w:p>
      <w:pPr>
        <w:widowControl/>
        <w:spacing w:line="360" w:lineRule="auto"/>
        <w:ind w:firstLine="420"/>
        <w:rPr>
          <w:rFonts w:ascii="宋体" w:hAnsi="宋体" w:cs="宋体"/>
          <w:kern w:val="0"/>
        </w:rPr>
      </w:pPr>
      <w:r>
        <w:rPr>
          <w:rFonts w:hint="eastAsia" w:ascii="宋体" w:hAnsi="宋体" w:cs="宋体"/>
          <w:kern w:val="0"/>
        </w:rPr>
        <w:t>3.6“信用中国”网站（www.creditchina.gov.cn）查询：投标人被人民法院列为失信被执行人的，投标活动依法予以限制。</w:t>
      </w:r>
    </w:p>
    <w:p>
      <w:pPr>
        <w:widowControl/>
        <w:spacing w:line="360" w:lineRule="auto"/>
        <w:ind w:firstLine="420"/>
        <w:rPr>
          <w:rFonts w:ascii="宋体" w:hAnsi="宋体" w:cs="宋体"/>
          <w:kern w:val="0"/>
        </w:rPr>
      </w:pPr>
      <w:r>
        <w:rPr>
          <w:rFonts w:hint="eastAsia" w:ascii="宋体" w:hAnsi="宋体" w:cs="宋体"/>
          <w:kern w:val="0"/>
        </w:rPr>
        <w:t>3.7信誉要求：投标人于2017年1月1日至投标人递交投标文件截止之日止，投标人无住房和城乡建设部、海南省住房和城乡建设厅及我市建设行政主管部门认定的在责令期内的不良行为记录和限制期内不得参加招标投标行为的处罚记录。</w:t>
      </w:r>
    </w:p>
    <w:p>
      <w:pPr>
        <w:widowControl/>
        <w:spacing w:line="360" w:lineRule="auto"/>
        <w:ind w:firstLine="420"/>
        <w:rPr>
          <w:rFonts w:ascii="宋体" w:cs="宋体"/>
          <w:kern w:val="0"/>
        </w:rPr>
      </w:pPr>
      <w:r>
        <w:rPr>
          <w:rFonts w:hint="eastAsia" w:ascii="宋体" w:hAnsi="宋体" w:cs="宋体"/>
          <w:kern w:val="0"/>
        </w:rPr>
        <w:t>3.8</w:t>
      </w:r>
      <w:r>
        <w:rPr>
          <w:rFonts w:ascii="宋体" w:hAnsi="宋体" w:cs="宋体"/>
          <w:kern w:val="0"/>
        </w:rPr>
        <w:t>能严格遵守三亚市政府投资建设项目代建制管理办法的通知三府[2017]320号相关规定。</w:t>
      </w:r>
    </w:p>
    <w:p>
      <w:pPr>
        <w:widowControl/>
        <w:spacing w:line="360" w:lineRule="auto"/>
        <w:ind w:firstLine="420"/>
        <w:rPr>
          <w:rFonts w:ascii="宋体" w:cs="宋体"/>
          <w:b/>
          <w:kern w:val="0"/>
        </w:rPr>
      </w:pPr>
      <w:r>
        <w:rPr>
          <w:rFonts w:ascii="宋体" w:hAnsi="宋体" w:cs="宋体"/>
          <w:b/>
          <w:kern w:val="0"/>
        </w:rPr>
        <w:t>4</w:t>
      </w:r>
      <w:r>
        <w:rPr>
          <w:rFonts w:hint="eastAsia" w:ascii="宋体" w:hAnsi="宋体" w:cs="宋体"/>
          <w:b/>
          <w:kern w:val="0"/>
        </w:rPr>
        <w:t>．招标文件的获取</w:t>
      </w:r>
    </w:p>
    <w:p>
      <w:pPr>
        <w:widowControl/>
        <w:snapToGrid w:val="0"/>
        <w:spacing w:line="360" w:lineRule="auto"/>
        <w:ind w:firstLine="420"/>
        <w:jc w:val="left"/>
        <w:rPr>
          <w:rFonts w:ascii="宋体" w:cs="宋体"/>
          <w:b/>
          <w:kern w:val="0"/>
          <w:u w:val="single"/>
        </w:rPr>
      </w:pPr>
      <w:r>
        <w:rPr>
          <w:rFonts w:ascii="宋体" w:hAnsi="宋体" w:cs="宋体"/>
          <w:kern w:val="0"/>
        </w:rPr>
        <w:t>4.1</w:t>
      </w:r>
      <w:bookmarkStart w:id="5" w:name="OLE_LINK2"/>
      <w:r>
        <w:rPr>
          <w:rFonts w:hint="eastAsia" w:ascii="宋体" w:hAnsi="宋体" w:cs="宋体"/>
          <w:kern w:val="0"/>
        </w:rPr>
        <w:t>凡有意参加投标者，请于</w:t>
      </w:r>
      <w:r>
        <w:rPr>
          <w:rFonts w:hint="eastAsia" w:ascii="宋体" w:hAnsi="宋体" w:cs="宋体"/>
          <w:kern w:val="0"/>
          <w:u w:val="single"/>
        </w:rPr>
        <w:t xml:space="preserve"> 2020年 5 月 30 日00：0</w:t>
      </w:r>
      <w:r>
        <w:rPr>
          <w:rFonts w:ascii="宋体" w:hAnsi="宋体" w:cs="宋体"/>
          <w:kern w:val="0"/>
          <w:u w:val="single"/>
        </w:rPr>
        <w:t>0</w:t>
      </w:r>
      <w:r>
        <w:rPr>
          <w:rFonts w:hint="eastAsia" w:ascii="宋体" w:hAnsi="宋体" w:cs="宋体"/>
          <w:kern w:val="0"/>
          <w:u w:val="single"/>
        </w:rPr>
        <w:t>时</w:t>
      </w:r>
      <w:r>
        <w:rPr>
          <w:rFonts w:hint="eastAsia" w:ascii="宋体" w:hAnsi="宋体" w:cs="宋体"/>
          <w:kern w:val="0"/>
        </w:rPr>
        <w:t>至</w:t>
      </w:r>
      <w:r>
        <w:rPr>
          <w:rFonts w:hint="eastAsia" w:ascii="宋体" w:hAnsi="宋体" w:cs="宋体"/>
          <w:kern w:val="0"/>
          <w:u w:val="single"/>
        </w:rPr>
        <w:t xml:space="preserve"> 2020年 6 月 6 日00：0</w:t>
      </w:r>
      <w:r>
        <w:rPr>
          <w:rFonts w:ascii="宋体" w:hAnsi="宋体" w:cs="宋体"/>
          <w:kern w:val="0"/>
          <w:u w:val="single"/>
        </w:rPr>
        <w:t>0</w:t>
      </w:r>
      <w:r>
        <w:rPr>
          <w:rFonts w:hint="eastAsia" w:ascii="宋体" w:hAnsi="宋体" w:cs="宋体"/>
          <w:kern w:val="0"/>
          <w:u w:val="single"/>
        </w:rPr>
        <w:t>时</w:t>
      </w:r>
      <w:r>
        <w:rPr>
          <w:rFonts w:hint="eastAsia" w:ascii="宋体" w:hAnsi="宋体" w:cs="宋体"/>
          <w:kern w:val="0"/>
          <w:szCs w:val="21"/>
        </w:rPr>
        <w:t>（法定公休日、法定节假日除外），每日上午</w:t>
      </w:r>
      <w:r>
        <w:rPr>
          <w:rFonts w:hint="eastAsia" w:ascii="宋体" w:cs="宋体"/>
          <w:kern w:val="0"/>
          <w:u w:val="single"/>
        </w:rPr>
        <w:t xml:space="preserve">  /   </w:t>
      </w:r>
      <w:r>
        <w:rPr>
          <w:rFonts w:hint="eastAsia" w:ascii="宋体" w:cs="宋体"/>
          <w:kern w:val="0"/>
        </w:rPr>
        <w:t>时至</w:t>
      </w:r>
      <w:r>
        <w:rPr>
          <w:rFonts w:hint="eastAsia" w:ascii="宋体" w:cs="宋体"/>
          <w:kern w:val="0"/>
          <w:u w:val="single"/>
        </w:rPr>
        <w:t xml:space="preserve">   /  </w:t>
      </w:r>
      <w:r>
        <w:rPr>
          <w:rFonts w:hint="eastAsia" w:ascii="宋体" w:cs="宋体"/>
          <w:kern w:val="0"/>
        </w:rPr>
        <w:t xml:space="preserve"> 时，下午</w:t>
      </w:r>
      <w:r>
        <w:rPr>
          <w:rFonts w:hint="eastAsia" w:ascii="宋体" w:cs="宋体"/>
          <w:kern w:val="0"/>
          <w:u w:val="single"/>
        </w:rPr>
        <w:t xml:space="preserve">  /  </w:t>
      </w:r>
      <w:r>
        <w:rPr>
          <w:rFonts w:hint="eastAsia" w:ascii="宋体" w:cs="宋体"/>
          <w:kern w:val="0"/>
        </w:rPr>
        <w:t>时至</w:t>
      </w:r>
      <w:r>
        <w:rPr>
          <w:rFonts w:hint="eastAsia" w:ascii="宋体" w:cs="宋体"/>
          <w:kern w:val="0"/>
          <w:u w:val="single"/>
        </w:rPr>
        <w:t xml:space="preserve">  / </w:t>
      </w:r>
      <w:r>
        <w:rPr>
          <w:rFonts w:hint="eastAsia" w:ascii="宋体" w:cs="宋体"/>
          <w:kern w:val="0"/>
        </w:rPr>
        <w:t>（北京时间，下同），从</w:t>
      </w:r>
      <w:r>
        <w:fldChar w:fldCharType="begin"/>
      </w:r>
      <w:r>
        <w:instrText xml:space="preserve"> HYPERLINK "http://218.77.183.48/htms持单位介绍信购买招标文件。" </w:instrText>
      </w:r>
      <w:r>
        <w:fldChar w:fldCharType="separate"/>
      </w:r>
      <w:r>
        <w:rPr>
          <w:rFonts w:hint="eastAsia" w:ascii="宋体" w:cs="宋体"/>
          <w:b/>
          <w:kern w:val="0"/>
          <w:u w:val="single"/>
        </w:rPr>
        <w:t>全国公共资源交易平台（海南省）（http://zw.hainan.gov.cn/ggzy/）下载招标文件。</w:t>
      </w:r>
      <w:r>
        <w:rPr>
          <w:rFonts w:hint="eastAsia" w:ascii="宋体" w:cs="宋体"/>
          <w:b/>
          <w:kern w:val="0"/>
          <w:u w:val="single"/>
        </w:rPr>
        <w:fldChar w:fldCharType="end"/>
      </w:r>
    </w:p>
    <w:p>
      <w:pPr>
        <w:widowControl/>
        <w:snapToGrid w:val="0"/>
        <w:spacing w:line="360" w:lineRule="auto"/>
        <w:ind w:firstLine="420"/>
        <w:jc w:val="left"/>
        <w:rPr>
          <w:rFonts w:ascii="宋体" w:cs="宋体"/>
          <w:b/>
          <w:kern w:val="0"/>
          <w:u w:val="single"/>
        </w:rPr>
      </w:pPr>
      <w:r>
        <w:rPr>
          <w:rFonts w:hint="eastAsia" w:ascii="宋体" w:hAnsi="宋体" w:cs="宋体"/>
          <w:kern w:val="0"/>
          <w:szCs w:val="21"/>
        </w:rPr>
        <w:t xml:space="preserve">4.2招标文件每套售价 </w:t>
      </w:r>
      <w:r>
        <w:rPr>
          <w:rFonts w:hint="eastAsia" w:ascii="宋体" w:hAnsi="宋体" w:cs="宋体"/>
          <w:b/>
          <w:kern w:val="0"/>
          <w:szCs w:val="21"/>
          <w:u w:val="single"/>
        </w:rPr>
        <w:t>500</w:t>
      </w:r>
      <w:r>
        <w:rPr>
          <w:rFonts w:hint="eastAsia" w:ascii="宋体" w:hAnsi="宋体" w:cs="宋体"/>
          <w:kern w:val="0"/>
          <w:szCs w:val="21"/>
        </w:rPr>
        <w:t>元（售后不退）；图纸售价</w:t>
      </w:r>
      <w:r>
        <w:rPr>
          <w:rFonts w:hint="eastAsia" w:ascii="宋体" w:hAnsi="宋体" w:cs="宋体"/>
          <w:kern w:val="0"/>
          <w:szCs w:val="21"/>
          <w:u w:val="single"/>
        </w:rPr>
        <w:t xml:space="preserve"> / </w:t>
      </w:r>
      <w:r>
        <w:rPr>
          <w:rFonts w:hint="eastAsia" w:ascii="宋体" w:hAnsi="宋体" w:cs="宋体"/>
          <w:kern w:val="0"/>
          <w:szCs w:val="21"/>
        </w:rPr>
        <w:t>元（开标结束后退还）；投标保证金的金额：</w:t>
      </w:r>
      <w:r>
        <w:rPr>
          <w:rFonts w:hint="eastAsia" w:ascii="宋体" w:hAnsi="宋体" w:cs="宋体"/>
          <w:b/>
          <w:kern w:val="0"/>
          <w:szCs w:val="21"/>
          <w:u w:val="single"/>
        </w:rPr>
        <w:t>10000</w:t>
      </w:r>
      <w:r>
        <w:rPr>
          <w:rFonts w:hint="eastAsia" w:ascii="宋体" w:hAnsi="宋体" w:cs="宋体"/>
          <w:kern w:val="0"/>
          <w:szCs w:val="21"/>
        </w:rPr>
        <w:t>元。</w:t>
      </w:r>
    </w:p>
    <w:p>
      <w:pPr>
        <w:widowControl/>
        <w:snapToGrid w:val="0"/>
        <w:spacing w:line="360" w:lineRule="auto"/>
        <w:ind w:firstLine="420"/>
        <w:jc w:val="left"/>
        <w:rPr>
          <w:rFonts w:ascii="宋体" w:cs="宋体"/>
          <w:b/>
          <w:kern w:val="0"/>
          <w:u w:val="single"/>
        </w:rPr>
      </w:pPr>
      <w:r>
        <w:rPr>
          <w:rFonts w:ascii="宋体" w:hAnsi="宋体" w:cs="宋体"/>
          <w:kern w:val="0"/>
          <w:sz w:val="23"/>
        </w:rPr>
        <w:t>4.</w:t>
      </w:r>
      <w:r>
        <w:rPr>
          <w:rFonts w:hint="eastAsia" w:ascii="宋体" w:hAnsi="宋体" w:cs="宋体"/>
          <w:kern w:val="0"/>
          <w:sz w:val="23"/>
        </w:rPr>
        <w:t xml:space="preserve">3 </w:t>
      </w:r>
      <w:r>
        <w:rPr>
          <w:rFonts w:ascii="宋体" w:hAnsi="宋体" w:cs="宋体"/>
          <w:kern w:val="0"/>
          <w:szCs w:val="21"/>
        </w:rPr>
        <w:t>投标人提问截止时间：</w:t>
      </w:r>
      <w:r>
        <w:rPr>
          <w:rFonts w:hint="eastAsia" w:ascii="宋体" w:hAnsi="宋体" w:cs="宋体"/>
          <w:kern w:val="0"/>
          <w:szCs w:val="21"/>
        </w:rPr>
        <w:t>2020年</w:t>
      </w:r>
      <w:r>
        <w:rPr>
          <w:rFonts w:hint="eastAsia" w:ascii="宋体" w:hAnsi="宋体" w:cs="宋体"/>
          <w:kern w:val="0"/>
          <w:szCs w:val="21"/>
          <w:u w:val="single"/>
        </w:rPr>
        <w:t xml:space="preserve"> 6 </w:t>
      </w:r>
      <w:r>
        <w:rPr>
          <w:rFonts w:hint="eastAsia" w:ascii="宋体" w:hAnsi="宋体" w:cs="宋体"/>
          <w:kern w:val="0"/>
          <w:szCs w:val="21"/>
        </w:rPr>
        <w:t>月</w:t>
      </w:r>
      <w:r>
        <w:rPr>
          <w:rFonts w:hint="eastAsia" w:ascii="宋体" w:hAnsi="宋体" w:cs="宋体"/>
          <w:kern w:val="0"/>
          <w:szCs w:val="21"/>
          <w:u w:val="single"/>
        </w:rPr>
        <w:t xml:space="preserve"> 9 </w:t>
      </w:r>
      <w:r>
        <w:rPr>
          <w:rFonts w:hint="eastAsia" w:ascii="宋体" w:hAnsi="宋体" w:cs="宋体"/>
          <w:kern w:val="0"/>
          <w:szCs w:val="21"/>
        </w:rPr>
        <w:t>日</w:t>
      </w:r>
      <w:r>
        <w:rPr>
          <w:rFonts w:ascii="宋体" w:hAnsi="宋体" w:cs="宋体"/>
          <w:kern w:val="0"/>
          <w:szCs w:val="21"/>
          <w:u w:val="single"/>
        </w:rPr>
        <w:t>09</w:t>
      </w:r>
      <w:r>
        <w:rPr>
          <w:rFonts w:hint="eastAsia" w:ascii="宋体" w:hAnsi="宋体" w:cs="宋体"/>
          <w:kern w:val="0"/>
          <w:szCs w:val="21"/>
          <w:u w:val="single"/>
        </w:rPr>
        <w:t>:0</w:t>
      </w:r>
      <w:r>
        <w:rPr>
          <w:rFonts w:ascii="宋体" w:hAnsi="宋体" w:cs="宋体"/>
          <w:kern w:val="0"/>
          <w:szCs w:val="21"/>
          <w:u w:val="single"/>
        </w:rPr>
        <w:t>0</w:t>
      </w:r>
      <w:r>
        <w:rPr>
          <w:rFonts w:ascii="宋体" w:hAnsi="宋体" w:cs="宋体"/>
          <w:kern w:val="0"/>
          <w:szCs w:val="21"/>
        </w:rPr>
        <w:t>时。</w:t>
      </w:r>
      <w:r>
        <w:rPr>
          <w:rFonts w:ascii="宋体" w:hAnsi="宋体" w:cs="宋体"/>
          <w:kern w:val="0"/>
          <w:sz w:val="23"/>
        </w:rPr>
        <w:t xml:space="preserve"> </w:t>
      </w:r>
    </w:p>
    <w:bookmarkEnd w:id="5"/>
    <w:p>
      <w:pPr>
        <w:spacing w:line="360" w:lineRule="auto"/>
        <w:ind w:firstLine="413" w:firstLineChars="196"/>
        <w:rPr>
          <w:rFonts w:ascii="宋体" w:cs="宋体"/>
          <w:b/>
          <w:kern w:val="0"/>
        </w:rPr>
      </w:pPr>
      <w:r>
        <w:rPr>
          <w:rFonts w:ascii="宋体" w:hAnsi="宋体" w:cs="宋体"/>
          <w:b/>
          <w:kern w:val="0"/>
        </w:rPr>
        <w:t>5</w:t>
      </w:r>
      <w:r>
        <w:rPr>
          <w:rFonts w:hint="eastAsia" w:ascii="宋体" w:hAnsi="宋体" w:cs="宋体"/>
          <w:b/>
          <w:kern w:val="0"/>
        </w:rPr>
        <w:t>．投标文件和保证金的递交</w:t>
      </w:r>
    </w:p>
    <w:p>
      <w:pPr>
        <w:widowControl/>
        <w:snapToGrid w:val="0"/>
        <w:spacing w:line="360" w:lineRule="auto"/>
        <w:ind w:firstLine="420"/>
        <w:jc w:val="left"/>
        <w:rPr>
          <w:rFonts w:ascii="宋体" w:cs="宋体"/>
          <w:kern w:val="0"/>
        </w:rPr>
      </w:pPr>
      <w:r>
        <w:rPr>
          <w:rFonts w:hint="eastAsia" w:ascii="宋体" w:cs="宋体"/>
          <w:kern w:val="0"/>
        </w:rPr>
        <w:t>5.1投标文件递交的截止时间（投标截止时间，下同）为</w:t>
      </w:r>
      <w:r>
        <w:rPr>
          <w:rFonts w:hint="eastAsia" w:ascii="宋体" w:hAnsi="宋体" w:cs="宋体"/>
          <w:kern w:val="0"/>
          <w:u w:val="single"/>
        </w:rPr>
        <w:t>2020年 6 月 19 日</w:t>
      </w:r>
      <w:r>
        <w:rPr>
          <w:rFonts w:ascii="宋体" w:hAnsi="宋体" w:cs="宋体"/>
          <w:kern w:val="0"/>
          <w:szCs w:val="21"/>
          <w:u w:val="single"/>
        </w:rPr>
        <w:t>09</w:t>
      </w:r>
      <w:r>
        <w:rPr>
          <w:rFonts w:hint="eastAsia" w:ascii="宋体" w:hAnsi="宋体" w:cs="宋体"/>
          <w:kern w:val="0"/>
          <w:szCs w:val="21"/>
          <w:u w:val="single"/>
        </w:rPr>
        <w:t>:0</w:t>
      </w:r>
      <w:r>
        <w:rPr>
          <w:rFonts w:ascii="宋体" w:hAnsi="宋体" w:cs="宋体"/>
          <w:kern w:val="0"/>
          <w:szCs w:val="21"/>
          <w:u w:val="single"/>
        </w:rPr>
        <w:t>0</w:t>
      </w:r>
      <w:r>
        <w:rPr>
          <w:rFonts w:hint="eastAsia" w:ascii="宋体" w:hAnsi="宋体" w:cs="宋体"/>
          <w:kern w:val="0"/>
          <w:u w:val="single"/>
        </w:rPr>
        <w:t>时</w:t>
      </w:r>
      <w:r>
        <w:rPr>
          <w:rFonts w:hint="eastAsia" w:ascii="宋体" w:cs="宋体"/>
          <w:kern w:val="0"/>
        </w:rPr>
        <w:t>，地点为：三亚市公共资源交易中心（三亚市吉阳区新风街259号）三亚开标室</w:t>
      </w:r>
      <w:r>
        <w:rPr>
          <w:rFonts w:ascii="宋体" w:cs="宋体"/>
          <w:kern w:val="0"/>
          <w:u w:val="single"/>
        </w:rPr>
        <w:t xml:space="preserve"> 4 </w:t>
      </w:r>
      <w:r>
        <w:rPr>
          <w:rFonts w:hint="eastAsia" w:ascii="宋体" w:cs="宋体"/>
          <w:kern w:val="0"/>
        </w:rPr>
        <w:t>。</w:t>
      </w:r>
    </w:p>
    <w:p>
      <w:pPr>
        <w:widowControl/>
        <w:snapToGrid w:val="0"/>
        <w:spacing w:line="360" w:lineRule="auto"/>
        <w:ind w:firstLine="420"/>
        <w:jc w:val="left"/>
        <w:rPr>
          <w:rFonts w:ascii="宋体" w:hAnsi="宋体" w:cs="宋体"/>
          <w:kern w:val="0"/>
          <w:szCs w:val="21"/>
        </w:rPr>
      </w:pPr>
      <w:r>
        <w:rPr>
          <w:rFonts w:hint="eastAsia" w:ascii="宋体" w:cs="宋体"/>
          <w:kern w:val="0"/>
        </w:rPr>
        <w:t>5.2</w:t>
      </w:r>
      <w:r>
        <w:rPr>
          <w:rFonts w:hint="eastAsia" w:ascii="宋体" w:hAnsi="宋体" w:cs="宋体"/>
          <w:kern w:val="0"/>
          <w:szCs w:val="21"/>
        </w:rPr>
        <w:t>投标保证金到账截止日期：2020年</w:t>
      </w:r>
      <w:r>
        <w:rPr>
          <w:rFonts w:hint="eastAsia" w:ascii="宋体" w:hAnsi="宋体" w:cs="宋体"/>
          <w:kern w:val="0"/>
          <w:szCs w:val="21"/>
          <w:u w:val="single"/>
        </w:rPr>
        <w:t xml:space="preserve"> 6 </w:t>
      </w:r>
      <w:r>
        <w:rPr>
          <w:rFonts w:hint="eastAsia" w:ascii="宋体" w:hAnsi="宋体" w:cs="宋体"/>
          <w:kern w:val="0"/>
          <w:szCs w:val="21"/>
        </w:rPr>
        <w:t>月</w:t>
      </w:r>
      <w:r>
        <w:rPr>
          <w:rFonts w:hint="eastAsia" w:ascii="宋体" w:hAnsi="宋体" w:cs="宋体"/>
          <w:kern w:val="0"/>
          <w:szCs w:val="21"/>
          <w:u w:val="single"/>
        </w:rPr>
        <w:t xml:space="preserve"> 19 </w:t>
      </w:r>
      <w:r>
        <w:rPr>
          <w:rFonts w:hint="eastAsia" w:ascii="宋体" w:hAnsi="宋体" w:cs="宋体"/>
          <w:kern w:val="0"/>
          <w:szCs w:val="21"/>
        </w:rPr>
        <w:t>日</w:t>
      </w:r>
      <w:r>
        <w:rPr>
          <w:rFonts w:ascii="宋体" w:hAnsi="宋体" w:cs="宋体"/>
          <w:kern w:val="0"/>
          <w:szCs w:val="21"/>
          <w:u w:val="single"/>
        </w:rPr>
        <w:t>09</w:t>
      </w:r>
      <w:r>
        <w:rPr>
          <w:rFonts w:hint="eastAsia" w:ascii="宋体" w:hAnsi="宋体" w:cs="宋体"/>
          <w:kern w:val="0"/>
          <w:szCs w:val="21"/>
          <w:u w:val="single"/>
        </w:rPr>
        <w:t>:0</w:t>
      </w:r>
      <w:r>
        <w:rPr>
          <w:rFonts w:ascii="宋体" w:hAnsi="宋体" w:cs="宋体"/>
          <w:kern w:val="0"/>
          <w:szCs w:val="21"/>
          <w:u w:val="single"/>
        </w:rPr>
        <w:t>0</w:t>
      </w:r>
      <w:r>
        <w:rPr>
          <w:rFonts w:hint="eastAsia" w:ascii="宋体" w:hAnsi="宋体" w:cs="宋体"/>
          <w:kern w:val="0"/>
          <w:szCs w:val="21"/>
        </w:rPr>
        <w:t>时，投标保证金的形式：网上支付或线下银行转账支付</w:t>
      </w:r>
      <w:r>
        <w:rPr>
          <w:rFonts w:hint="eastAsia" w:ascii="宋体" w:hAnsi="宋体" w:cs="宋体"/>
          <w:kern w:val="0"/>
          <w:szCs w:val="21"/>
          <w:u w:val="single"/>
        </w:rPr>
        <w:t>、银行保函支付</w:t>
      </w:r>
      <w:r>
        <w:rPr>
          <w:rFonts w:hint="eastAsia" w:ascii="宋体" w:hAnsi="宋体" w:cs="宋体"/>
          <w:kern w:val="0"/>
          <w:szCs w:val="21"/>
        </w:rPr>
        <w:t>，支付地址：http://zw.hainan.gov.cn/ggzy/。</w:t>
      </w:r>
    </w:p>
    <w:p>
      <w:pPr>
        <w:widowControl/>
        <w:snapToGrid w:val="0"/>
        <w:spacing w:line="360" w:lineRule="auto"/>
        <w:ind w:firstLine="420"/>
        <w:jc w:val="left"/>
        <w:rPr>
          <w:rFonts w:ascii="宋体" w:hAnsi="宋体" w:cs="宋体"/>
          <w:kern w:val="0"/>
          <w:szCs w:val="21"/>
        </w:rPr>
      </w:pPr>
      <w:r>
        <w:rPr>
          <w:rFonts w:hint="eastAsia" w:ascii="宋体" w:hAnsi="宋体" w:cs="宋体"/>
          <w:kern w:val="0"/>
          <w:szCs w:val="21"/>
        </w:rPr>
        <w:t>5.3逾期送达的或者未送达指定地点的投标文件，招标人不予受理。</w:t>
      </w:r>
    </w:p>
    <w:p>
      <w:pPr>
        <w:pStyle w:val="37"/>
        <w:numPr>
          <w:ilvl w:val="0"/>
          <w:numId w:val="1"/>
        </w:numPr>
        <w:spacing w:line="360" w:lineRule="auto"/>
        <w:ind w:firstLineChars="0"/>
      </w:pPr>
      <w:r>
        <w:rPr>
          <w:rFonts w:hint="eastAsia"/>
          <w:b/>
        </w:rPr>
        <w:t>发布公告的媒介</w:t>
      </w:r>
    </w:p>
    <w:p>
      <w:pPr>
        <w:pStyle w:val="37"/>
        <w:widowControl/>
        <w:spacing w:line="360" w:lineRule="auto"/>
        <w:ind w:left="105" w:firstLine="525" w:firstLineChars="250"/>
        <w:rPr>
          <w:rFonts w:ascii="宋体" w:hAnsi="宋体" w:cs="宋体"/>
          <w:b/>
          <w:kern w:val="0"/>
        </w:rPr>
      </w:pPr>
      <w:r>
        <w:rPr>
          <w:rFonts w:hint="eastAsia"/>
        </w:rPr>
        <w:t>本次招标公告在</w:t>
      </w:r>
      <w:r>
        <w:rPr>
          <w:rFonts w:hint="eastAsia"/>
          <w:u w:val="single"/>
        </w:rPr>
        <w:t xml:space="preserve"> 全国公共资源交易平台（海南省）（http://zw.hainan.gov.cn/ggzy/）、全国公共资源交易平台（海南省）·三亚市（http://zw.hainan.gov.cn/ggzy/syggzy/）</w:t>
      </w:r>
      <w:r>
        <w:rPr>
          <w:rFonts w:hint="eastAsia"/>
        </w:rPr>
        <w:t>等媒介上发布。</w:t>
      </w:r>
    </w:p>
    <w:p>
      <w:pPr>
        <w:widowControl/>
        <w:numPr>
          <w:ilvl w:val="0"/>
          <w:numId w:val="2"/>
        </w:numPr>
        <w:spacing w:line="360" w:lineRule="auto"/>
        <w:ind w:left="420"/>
        <w:rPr>
          <w:rFonts w:ascii="宋体" w:hAnsi="宋体" w:cs="宋体"/>
          <w:b/>
          <w:kern w:val="0"/>
        </w:rPr>
      </w:pPr>
      <w:r>
        <w:rPr>
          <w:rFonts w:hint="eastAsia" w:ascii="宋体" w:hAnsi="宋体" w:cs="宋体"/>
          <w:b/>
          <w:kern w:val="0"/>
        </w:rPr>
        <w:t>其他</w:t>
      </w:r>
    </w:p>
    <w:p>
      <w:pPr>
        <w:widowControl/>
        <w:snapToGrid w:val="0"/>
        <w:spacing w:line="360" w:lineRule="auto"/>
        <w:ind w:firstLine="420"/>
        <w:jc w:val="left"/>
        <w:rPr>
          <w:rFonts w:ascii="宋体" w:hAnsi="宋体" w:cs="宋体"/>
          <w:kern w:val="0"/>
          <w:szCs w:val="21"/>
        </w:rPr>
      </w:pPr>
      <w:r>
        <w:rPr>
          <w:rFonts w:hint="eastAsia" w:ascii="宋体" w:hAnsi="宋体" w:cs="宋体"/>
          <w:kern w:val="0"/>
          <w:szCs w:val="21"/>
        </w:rPr>
        <w:t>7.1投标人须在全国公共资源交易平台（海南省）企业信息管理系(http://zw.hainan.gov.cn /ggzy/)中登记企业信息 , 然后登陆招标投标交易平台(http://zw.hainan.gov.cn/ggzy/)下载，查看电子版的招标文件及 其他文件；</w:t>
      </w:r>
    </w:p>
    <w:p>
      <w:pPr>
        <w:widowControl/>
        <w:snapToGrid w:val="0"/>
        <w:spacing w:line="360" w:lineRule="auto"/>
        <w:ind w:firstLine="420"/>
        <w:jc w:val="left"/>
        <w:rPr>
          <w:rFonts w:ascii="宋体" w:hAnsi="宋体" w:cs="宋体"/>
          <w:kern w:val="0"/>
          <w:szCs w:val="21"/>
        </w:rPr>
      </w:pPr>
      <w:r>
        <w:rPr>
          <w:rFonts w:hint="eastAsia" w:ascii="宋体" w:hAnsi="宋体" w:cs="宋体"/>
          <w:kern w:val="0"/>
          <w:szCs w:val="21"/>
        </w:rPr>
        <w:t>7.2电子标（招标文件后缀名.GZBS）：必须使用最新版本的电子投标工具（在http://zw.hainan.gov.cn/ggzy/ggzy/xgrjxz/index.jhtml下载投标工具）制作电子版的投标文件；</w:t>
      </w:r>
    </w:p>
    <w:p>
      <w:pPr>
        <w:widowControl/>
        <w:snapToGrid w:val="0"/>
        <w:spacing w:line="360" w:lineRule="auto"/>
        <w:ind w:firstLine="420"/>
        <w:jc w:val="left"/>
        <w:rPr>
          <w:rFonts w:ascii="宋体" w:hAnsi="宋体" w:cs="宋体"/>
          <w:kern w:val="0"/>
          <w:szCs w:val="21"/>
        </w:rPr>
      </w:pPr>
      <w:r>
        <w:rPr>
          <w:rFonts w:hint="eastAsia" w:ascii="宋体" w:hAnsi="宋体" w:cs="宋体"/>
          <w:kern w:val="0"/>
          <w:szCs w:val="21"/>
        </w:rPr>
        <w:t>非电子标（招标文件后缀名不是.GZBS）：必须使用电子签章工具（在http://zw.hainan.gov.cn/ggzy/ggzy/xgrjxz/index.jhtml下载签章工具）对PDF格式的电子投标文件进行盖章(使用WinRAR对PDF格式的标书加密压缩)；</w:t>
      </w:r>
    </w:p>
    <w:p>
      <w:pPr>
        <w:widowControl/>
        <w:snapToGrid w:val="0"/>
        <w:spacing w:line="360" w:lineRule="auto"/>
        <w:ind w:firstLine="420"/>
        <w:jc w:val="left"/>
        <w:rPr>
          <w:rFonts w:ascii="宋体" w:hAnsi="宋体" w:cs="宋体"/>
          <w:kern w:val="0"/>
          <w:szCs w:val="21"/>
        </w:rPr>
      </w:pPr>
      <w:r>
        <w:rPr>
          <w:rFonts w:hint="eastAsia" w:ascii="宋体" w:hAnsi="宋体" w:cs="宋体"/>
          <w:kern w:val="0"/>
          <w:szCs w:val="21"/>
        </w:rPr>
        <w:t>7.3投标截止时间前，必须在网上上传电子投标书——（电子标：投标书为GTBS格式；非电子标：投标书需上传PDF加密压缩的rar格式）；</w:t>
      </w:r>
    </w:p>
    <w:p>
      <w:pPr>
        <w:widowControl/>
        <w:snapToGrid w:val="0"/>
        <w:spacing w:line="360" w:lineRule="auto"/>
        <w:ind w:firstLine="420"/>
        <w:jc w:val="left"/>
        <w:rPr>
          <w:rFonts w:ascii="宋体" w:hAnsi="宋体" w:cs="宋体"/>
          <w:kern w:val="0"/>
          <w:szCs w:val="21"/>
        </w:rPr>
      </w:pPr>
      <w:r>
        <w:rPr>
          <w:rFonts w:hint="eastAsia" w:ascii="宋体" w:hAnsi="宋体" w:cs="宋体"/>
          <w:kern w:val="0"/>
          <w:szCs w:val="21"/>
        </w:rPr>
        <w:t>7.4开标的时候必须携带加密锁(CA数字认证锁)和光盘、U盘拷贝的电子版投标书。</w:t>
      </w:r>
    </w:p>
    <w:p>
      <w:pPr>
        <w:widowControl/>
        <w:spacing w:line="360" w:lineRule="auto"/>
        <w:rPr>
          <w:rFonts w:ascii="宋体" w:hAnsi="宋体" w:cs="宋体"/>
          <w:b/>
          <w:kern w:val="0"/>
        </w:rPr>
      </w:pPr>
      <w:r>
        <w:rPr>
          <w:rFonts w:hint="eastAsia" w:ascii="宋体" w:hAnsi="宋体" w:cs="宋体"/>
          <w:b/>
          <w:kern w:val="0"/>
        </w:rPr>
        <w:t>8．</w:t>
      </w:r>
      <w:r>
        <w:rPr>
          <w:rFonts w:hint="eastAsia"/>
          <w:b/>
        </w:rPr>
        <w:t>联系方式</w:t>
      </w:r>
    </w:p>
    <w:p>
      <w:pPr>
        <w:widowControl/>
        <w:spacing w:line="360" w:lineRule="auto"/>
        <w:rPr>
          <w:rFonts w:ascii="宋体" w:hAnsi="宋体" w:cs="宋体"/>
          <w:kern w:val="0"/>
        </w:rPr>
      </w:pPr>
      <w:r>
        <w:rPr>
          <w:rFonts w:hint="eastAsia" w:ascii="宋体" w:hAnsi="宋体" w:cs="宋体"/>
          <w:kern w:val="0"/>
        </w:rPr>
        <w:t>招标人：三亚市天涯区农业农村局</w:t>
      </w:r>
      <w:r>
        <w:rPr>
          <w:rFonts w:ascii="宋体" w:hAnsi="宋体" w:cs="宋体"/>
          <w:kern w:val="0"/>
        </w:rPr>
        <w:t xml:space="preserve"> </w:t>
      </w:r>
      <w:r>
        <w:rPr>
          <w:rFonts w:hint="eastAsia" w:ascii="宋体" w:hAnsi="宋体" w:cs="宋体"/>
          <w:kern w:val="0"/>
        </w:rPr>
        <w:t xml:space="preserve">          代理公司：海南平正项目管理有限公司</w:t>
      </w:r>
    </w:p>
    <w:p>
      <w:pPr>
        <w:widowControl/>
        <w:spacing w:line="360" w:lineRule="auto"/>
        <w:ind w:left="554" w:leftChars="14" w:hanging="525" w:hangingChars="250"/>
        <w:jc w:val="left"/>
      </w:pPr>
      <w:r>
        <w:rPr>
          <w:rFonts w:hint="eastAsia" w:ascii="宋体" w:hAnsi="宋体" w:cs="宋体"/>
          <w:kern w:val="0"/>
        </w:rPr>
        <w:t xml:space="preserve">地址：三亚市凤凰路319号 </w:t>
      </w:r>
      <w:r>
        <w:rPr>
          <w:rFonts w:ascii="宋体" w:hAnsi="宋体" w:cs="宋体"/>
          <w:kern w:val="0"/>
        </w:rPr>
        <w:t xml:space="preserve">                </w:t>
      </w:r>
      <w:r>
        <w:rPr>
          <w:rFonts w:hint="eastAsia"/>
        </w:rPr>
        <w:t>地址：海南省海口市美兰区蓝天路35号名门广场北区</w:t>
      </w:r>
    </w:p>
    <w:p>
      <w:pPr>
        <w:widowControl/>
        <w:spacing w:line="360" w:lineRule="auto"/>
        <w:ind w:left="554" w:leftChars="14" w:hanging="525" w:hangingChars="250"/>
        <w:jc w:val="left"/>
        <w:rPr>
          <w:rFonts w:ascii="宋体" w:hAnsi="宋体" w:cs="宋体"/>
          <w:kern w:val="0"/>
        </w:rPr>
      </w:pPr>
      <w:r>
        <w:rPr>
          <w:rFonts w:hint="eastAsia" w:ascii="宋体" w:hAnsi="宋体" w:cs="宋体"/>
          <w:kern w:val="0"/>
        </w:rPr>
        <w:t xml:space="preserve">天涯区人民政府办公楼5号楼402室 </w:t>
      </w:r>
      <w:r>
        <w:rPr>
          <w:rFonts w:ascii="宋体" w:hAnsi="宋体" w:cs="宋体"/>
          <w:kern w:val="0"/>
        </w:rPr>
        <w:t xml:space="preserve">            </w:t>
      </w:r>
      <w:r>
        <w:rPr>
          <w:rFonts w:hint="eastAsia"/>
        </w:rPr>
        <w:t>B座9层909房</w:t>
      </w:r>
    </w:p>
    <w:p>
      <w:pPr>
        <w:widowControl/>
        <w:spacing w:line="360" w:lineRule="auto"/>
        <w:rPr>
          <w:rFonts w:ascii="宋体" w:cs="宋体"/>
          <w:kern w:val="0"/>
        </w:rPr>
      </w:pPr>
      <w:r>
        <w:rPr>
          <w:rFonts w:hint="eastAsia" w:ascii="宋体" w:hAnsi="宋体" w:cs="宋体"/>
          <w:kern w:val="0"/>
        </w:rPr>
        <w:t>联</w:t>
      </w:r>
      <w:r>
        <w:rPr>
          <w:rFonts w:ascii="宋体" w:hAnsi="宋体" w:cs="宋体"/>
          <w:kern w:val="0"/>
        </w:rPr>
        <w:t xml:space="preserve"> </w:t>
      </w:r>
      <w:r>
        <w:rPr>
          <w:rFonts w:hint="eastAsia" w:ascii="宋体" w:hAnsi="宋体" w:cs="宋体"/>
          <w:kern w:val="0"/>
        </w:rPr>
        <w:t>系</w:t>
      </w:r>
      <w:r>
        <w:rPr>
          <w:rFonts w:ascii="宋体" w:hAnsi="宋体" w:cs="宋体"/>
          <w:kern w:val="0"/>
        </w:rPr>
        <w:t xml:space="preserve"> </w:t>
      </w:r>
      <w:r>
        <w:rPr>
          <w:rFonts w:hint="eastAsia" w:ascii="宋体" w:hAnsi="宋体" w:cs="宋体"/>
          <w:kern w:val="0"/>
        </w:rPr>
        <w:t>人： 张工</w:t>
      </w:r>
      <w:r>
        <w:rPr>
          <w:rFonts w:ascii="宋体" w:hAnsi="宋体" w:cs="宋体"/>
          <w:kern w:val="0"/>
        </w:rPr>
        <w:t xml:space="preserve">                 </w:t>
      </w:r>
      <w:r>
        <w:rPr>
          <w:rFonts w:hint="eastAsia" w:ascii="宋体" w:hAnsi="宋体" w:cs="宋体"/>
          <w:kern w:val="0"/>
        </w:rPr>
        <w:t xml:space="preserve">         联</w:t>
      </w:r>
      <w:r>
        <w:rPr>
          <w:rFonts w:ascii="宋体" w:hAnsi="宋体" w:cs="宋体"/>
          <w:kern w:val="0"/>
        </w:rPr>
        <w:t xml:space="preserve"> </w:t>
      </w:r>
      <w:r>
        <w:rPr>
          <w:rFonts w:hint="eastAsia" w:ascii="宋体" w:hAnsi="宋体" w:cs="宋体"/>
          <w:kern w:val="0"/>
        </w:rPr>
        <w:t>系</w:t>
      </w:r>
      <w:r>
        <w:rPr>
          <w:rFonts w:ascii="宋体" w:hAnsi="宋体" w:cs="宋体"/>
          <w:kern w:val="0"/>
        </w:rPr>
        <w:t xml:space="preserve"> </w:t>
      </w:r>
      <w:r>
        <w:rPr>
          <w:rFonts w:hint="eastAsia" w:ascii="宋体" w:hAnsi="宋体" w:cs="宋体"/>
          <w:kern w:val="0"/>
        </w:rPr>
        <w:t>人</w:t>
      </w:r>
      <w:r>
        <w:rPr>
          <w:rFonts w:ascii="宋体" w:hAnsi="宋体" w:cs="宋体"/>
          <w:kern w:val="0"/>
        </w:rPr>
        <w:t>:</w:t>
      </w:r>
      <w:r>
        <w:rPr>
          <w:rFonts w:hint="eastAsia" w:ascii="宋体" w:hAnsi="宋体" w:cs="宋体"/>
          <w:kern w:val="0"/>
        </w:rPr>
        <w:t>王</w:t>
      </w:r>
      <w:r>
        <w:rPr>
          <w:rFonts w:ascii="宋体" w:hAnsi="宋体" w:cs="宋体"/>
          <w:kern w:val="0"/>
        </w:rPr>
        <w:t xml:space="preserve">工    </w:t>
      </w:r>
    </w:p>
    <w:p>
      <w:pPr>
        <w:widowControl/>
        <w:spacing w:line="360" w:lineRule="auto"/>
        <w:rPr>
          <w:rFonts w:ascii="宋体" w:hAnsi="宋体" w:cs="宋体"/>
          <w:kern w:val="0"/>
        </w:rPr>
      </w:pPr>
      <w:r>
        <w:rPr>
          <w:rFonts w:hint="eastAsia" w:ascii="宋体" w:hAnsi="宋体" w:cs="宋体"/>
          <w:kern w:val="0"/>
        </w:rPr>
        <w:t>电话</w:t>
      </w:r>
      <w:r>
        <w:rPr>
          <w:rFonts w:ascii="宋体" w:hAnsi="宋体" w:cs="宋体"/>
          <w:kern w:val="0"/>
        </w:rPr>
        <w:t>:</w:t>
      </w:r>
      <w:r>
        <w:rPr>
          <w:rFonts w:hint="eastAsia" w:ascii="宋体" w:hAnsi="宋体" w:cs="宋体"/>
          <w:kern w:val="0"/>
        </w:rPr>
        <w:t xml:space="preserve"> </w:t>
      </w:r>
      <w:r>
        <w:rPr>
          <w:rFonts w:ascii="宋体" w:hAnsi="宋体" w:cs="宋体"/>
          <w:kern w:val="0"/>
        </w:rPr>
        <w:t>0898-88911671</w:t>
      </w:r>
      <w:r>
        <w:rPr>
          <w:rFonts w:hint="eastAsia" w:ascii="宋体" w:hAnsi="宋体" w:cs="宋体"/>
          <w:kern w:val="0"/>
        </w:rPr>
        <w:t xml:space="preserve">                 </w:t>
      </w:r>
      <w:r>
        <w:rPr>
          <w:rFonts w:ascii="宋体" w:hAnsi="宋体" w:cs="宋体"/>
          <w:kern w:val="0"/>
        </w:rPr>
        <w:t xml:space="preserve">     </w:t>
      </w:r>
      <w:r>
        <w:rPr>
          <w:rFonts w:hint="eastAsia" w:ascii="宋体" w:hAnsi="宋体" w:cs="宋体"/>
          <w:kern w:val="0"/>
        </w:rPr>
        <w:t>电话</w:t>
      </w:r>
      <w:r>
        <w:rPr>
          <w:rFonts w:ascii="宋体" w:hAnsi="宋体" w:cs="宋体"/>
          <w:kern w:val="0"/>
        </w:rPr>
        <w:t>: 0898-66168832</w:t>
      </w:r>
    </w:p>
    <w:p>
      <w:pPr>
        <w:widowControl/>
        <w:spacing w:line="360" w:lineRule="auto"/>
        <w:ind w:left="5460" w:leftChars="2600" w:firstLine="210" w:firstLineChars="100"/>
        <w:jc w:val="right"/>
        <w:rPr>
          <w:kern w:val="0"/>
        </w:rPr>
      </w:pPr>
      <w:r>
        <w:rPr>
          <w:rFonts w:hint="eastAsia"/>
          <w:kern w:val="0"/>
          <w:u w:val="single"/>
        </w:rPr>
        <w:t xml:space="preserve">2020 </w:t>
      </w:r>
      <w:r>
        <w:rPr>
          <w:rFonts w:hint="eastAsia"/>
          <w:kern w:val="0"/>
        </w:rPr>
        <w:t>年</w:t>
      </w:r>
      <w:r>
        <w:rPr>
          <w:rFonts w:hint="eastAsia"/>
          <w:kern w:val="0"/>
          <w:u w:val="single"/>
        </w:rPr>
        <w:t xml:space="preserve"> </w:t>
      </w:r>
      <w:r>
        <w:rPr>
          <w:kern w:val="0"/>
          <w:u w:val="single"/>
        </w:rPr>
        <w:t>5</w:t>
      </w:r>
      <w:r>
        <w:rPr>
          <w:rFonts w:hint="eastAsia"/>
          <w:kern w:val="0"/>
          <w:u w:val="single"/>
        </w:rPr>
        <w:t xml:space="preserve"> </w:t>
      </w:r>
      <w:r>
        <w:rPr>
          <w:rFonts w:hint="eastAsia"/>
          <w:kern w:val="0"/>
        </w:rPr>
        <w:t>月</w:t>
      </w:r>
      <w:r>
        <w:rPr>
          <w:rFonts w:hint="eastAsia"/>
          <w:kern w:val="0"/>
          <w:u w:val="single"/>
        </w:rPr>
        <w:t xml:space="preserve"> </w:t>
      </w:r>
      <w:r>
        <w:rPr>
          <w:kern w:val="0"/>
          <w:u w:val="single"/>
        </w:rPr>
        <w:t>30</w:t>
      </w:r>
      <w:r>
        <w:rPr>
          <w:rFonts w:hint="eastAsia"/>
          <w:kern w:val="0"/>
          <w:u w:val="single"/>
        </w:rPr>
        <w:t xml:space="preserve"> </w:t>
      </w:r>
      <w:r>
        <w:rPr>
          <w:rFonts w:hint="eastAsia"/>
          <w:kern w:val="0"/>
        </w:rPr>
        <w:t>日</w:t>
      </w:r>
    </w:p>
    <w:p>
      <w:pPr>
        <w:spacing w:line="360" w:lineRule="auto"/>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pStyle w:val="2"/>
        <w:spacing w:line="240" w:lineRule="auto"/>
        <w:jc w:val="center"/>
        <w:rPr>
          <w:rFonts w:ascii="黑体" w:eastAsia="黑体"/>
          <w:b w:val="0"/>
          <w:kern w:val="0"/>
        </w:rPr>
      </w:pPr>
      <w:bookmarkStart w:id="6" w:name="_Toc17831"/>
      <w:bookmarkStart w:id="7" w:name="_Toc3241"/>
      <w:bookmarkStart w:id="8" w:name="_Toc41309510"/>
      <w:r>
        <w:rPr>
          <w:rFonts w:hint="eastAsia" w:ascii="黑体" w:eastAsia="黑体"/>
          <w:b w:val="0"/>
          <w:kern w:val="0"/>
        </w:rPr>
        <w:t>第二章  投标人须知</w:t>
      </w:r>
      <w:bookmarkEnd w:id="6"/>
      <w:bookmarkEnd w:id="7"/>
      <w:bookmarkEnd w:id="8"/>
    </w:p>
    <w:p>
      <w:pPr>
        <w:rPr>
          <w:rFonts w:ascii="黑体" w:eastAsia="黑体"/>
          <w:sz w:val="28"/>
          <w:szCs w:val="28"/>
        </w:rPr>
      </w:pPr>
      <w:r>
        <w:rPr>
          <w:rFonts w:hint="eastAsia" w:ascii="黑体" w:eastAsia="黑体"/>
          <w:sz w:val="28"/>
          <w:szCs w:val="28"/>
        </w:rPr>
        <w:t>投标人须知前附表</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160"/>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00" w:type="dxa"/>
            <w:vAlign w:val="center"/>
          </w:tcPr>
          <w:p>
            <w:pPr>
              <w:jc w:val="center"/>
            </w:pPr>
            <w:r>
              <w:rPr>
                <w:rFonts w:hint="eastAsia"/>
              </w:rPr>
              <w:t>条款号</w:t>
            </w:r>
          </w:p>
        </w:tc>
        <w:tc>
          <w:tcPr>
            <w:tcW w:w="2160" w:type="dxa"/>
            <w:vAlign w:val="center"/>
          </w:tcPr>
          <w:p>
            <w:pPr>
              <w:jc w:val="center"/>
            </w:pPr>
            <w:r>
              <w:rPr>
                <w:rFonts w:hint="eastAsia"/>
              </w:rPr>
              <w:t>条  款  名  称</w:t>
            </w:r>
          </w:p>
        </w:tc>
        <w:tc>
          <w:tcPr>
            <w:tcW w:w="6300" w:type="dxa"/>
            <w:vAlign w:val="center"/>
          </w:tcPr>
          <w:p>
            <w:pPr>
              <w:jc w:val="center"/>
            </w:pPr>
            <w:r>
              <w:rPr>
                <w:rFonts w:hint="eastAsia"/>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900" w:type="dxa"/>
            <w:vAlign w:val="center"/>
          </w:tcPr>
          <w:p>
            <w:pPr>
              <w:jc w:val="center"/>
            </w:pPr>
            <w:r>
              <w:rPr>
                <w:rFonts w:hint="eastAsia"/>
              </w:rPr>
              <w:t>1.1.2</w:t>
            </w:r>
          </w:p>
        </w:tc>
        <w:tc>
          <w:tcPr>
            <w:tcW w:w="2160" w:type="dxa"/>
            <w:vAlign w:val="center"/>
          </w:tcPr>
          <w:p>
            <w:r>
              <w:rPr>
                <w:rFonts w:hint="eastAsia"/>
              </w:rPr>
              <w:t>招标人</w:t>
            </w:r>
          </w:p>
        </w:tc>
        <w:tc>
          <w:tcPr>
            <w:tcW w:w="6300" w:type="dxa"/>
            <w:vAlign w:val="center"/>
          </w:tcPr>
          <w:p>
            <w:pPr>
              <w:spacing w:line="312" w:lineRule="auto"/>
            </w:pPr>
            <w:r>
              <w:rPr>
                <w:rFonts w:hint="eastAsia"/>
              </w:rPr>
              <w:t>名称：三亚市天涯区农业农村局</w:t>
            </w:r>
          </w:p>
          <w:p>
            <w:pPr>
              <w:spacing w:line="312" w:lineRule="auto"/>
            </w:pPr>
            <w:r>
              <w:rPr>
                <w:rFonts w:hint="eastAsia"/>
              </w:rPr>
              <w:t>地址：三亚市凤凰路319号天涯区人民政府办公楼5号楼402室</w:t>
            </w:r>
          </w:p>
          <w:p>
            <w:pPr>
              <w:spacing w:line="312" w:lineRule="auto"/>
            </w:pPr>
            <w:r>
              <w:rPr>
                <w:rFonts w:hint="eastAsia"/>
              </w:rPr>
              <w:t>联系人：张工</w:t>
            </w:r>
          </w:p>
          <w:p>
            <w:pPr>
              <w:spacing w:line="312" w:lineRule="auto"/>
            </w:pPr>
            <w:r>
              <w:rPr>
                <w:rFonts w:hint="eastAsia"/>
              </w:rPr>
              <w:t>电话：</w:t>
            </w:r>
            <w:r>
              <w:rPr>
                <w:rFonts w:hint="eastAsia"/>
                <w:color w:val="454545"/>
                <w:szCs w:val="21"/>
                <w:shd w:val="clear" w:color="auto" w:fill="FFFFFF"/>
              </w:rPr>
              <w:t>0898-88911671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900" w:type="dxa"/>
            <w:vAlign w:val="center"/>
          </w:tcPr>
          <w:p>
            <w:pPr>
              <w:jc w:val="center"/>
            </w:pPr>
            <w:r>
              <w:rPr>
                <w:rFonts w:hint="eastAsia"/>
              </w:rPr>
              <w:t>1.1.3</w:t>
            </w:r>
          </w:p>
        </w:tc>
        <w:tc>
          <w:tcPr>
            <w:tcW w:w="2160" w:type="dxa"/>
            <w:vAlign w:val="center"/>
          </w:tcPr>
          <w:p>
            <w:r>
              <w:rPr>
                <w:rFonts w:hint="eastAsia"/>
              </w:rPr>
              <w:t>招标代理机构</w:t>
            </w:r>
          </w:p>
        </w:tc>
        <w:tc>
          <w:tcPr>
            <w:tcW w:w="6300" w:type="dxa"/>
            <w:vAlign w:val="center"/>
          </w:tcPr>
          <w:p>
            <w:pPr>
              <w:spacing w:line="440" w:lineRule="exact"/>
              <w:rPr>
                <w:szCs w:val="21"/>
              </w:rPr>
            </w:pPr>
            <w:r>
              <w:rPr>
                <w:rFonts w:hint="eastAsia"/>
                <w:szCs w:val="21"/>
              </w:rPr>
              <w:t>名称：海南平正项目管理有限公司</w:t>
            </w:r>
          </w:p>
          <w:p>
            <w:pPr>
              <w:spacing w:line="440" w:lineRule="exact"/>
              <w:rPr>
                <w:szCs w:val="21"/>
              </w:rPr>
            </w:pPr>
            <w:r>
              <w:rPr>
                <w:rFonts w:hint="eastAsia"/>
                <w:szCs w:val="21"/>
              </w:rPr>
              <w:t>地址：海口市美兰区蓝天路35号名门广场北区B座9层909房</w:t>
            </w:r>
          </w:p>
          <w:p>
            <w:pPr>
              <w:spacing w:line="440" w:lineRule="exact"/>
              <w:rPr>
                <w:szCs w:val="21"/>
              </w:rPr>
            </w:pPr>
            <w:r>
              <w:rPr>
                <w:rFonts w:hint="eastAsia"/>
                <w:szCs w:val="21"/>
              </w:rPr>
              <w:t>联系人：王工</w:t>
            </w:r>
          </w:p>
          <w:p>
            <w:pPr>
              <w:spacing w:line="312" w:lineRule="auto"/>
              <w:rPr>
                <w:rFonts w:ascii="宋体" w:hAnsi="TimesNewRomanPSMT" w:cs="宋体"/>
                <w:kern w:val="0"/>
              </w:rPr>
            </w:pPr>
            <w:r>
              <w:rPr>
                <w:rFonts w:hint="eastAsia"/>
                <w:szCs w:val="21"/>
              </w:rPr>
              <w:t>电话：</w:t>
            </w:r>
            <w:r>
              <w:rPr>
                <w:szCs w:val="21"/>
              </w:rPr>
              <w:t>0898-66168832</w:t>
            </w:r>
            <w:r>
              <w:rPr>
                <w:rFonts w:hint="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trPr>
        <w:tc>
          <w:tcPr>
            <w:tcW w:w="900" w:type="dxa"/>
            <w:vAlign w:val="center"/>
          </w:tcPr>
          <w:p>
            <w:pPr>
              <w:jc w:val="center"/>
            </w:pPr>
            <w:r>
              <w:rPr>
                <w:rFonts w:hint="eastAsia"/>
              </w:rPr>
              <w:t>1.1.4</w:t>
            </w:r>
          </w:p>
        </w:tc>
        <w:tc>
          <w:tcPr>
            <w:tcW w:w="2160" w:type="dxa"/>
            <w:vAlign w:val="center"/>
          </w:tcPr>
          <w:p>
            <w:r>
              <w:rPr>
                <w:rFonts w:hint="eastAsia"/>
              </w:rPr>
              <w:t>项目名称</w:t>
            </w:r>
          </w:p>
        </w:tc>
        <w:tc>
          <w:tcPr>
            <w:tcW w:w="6300" w:type="dxa"/>
            <w:vAlign w:val="center"/>
          </w:tcPr>
          <w:p>
            <w:pPr>
              <w:rPr>
                <w:rFonts w:ascii="宋体" w:hAnsi="宋体"/>
                <w:szCs w:val="21"/>
              </w:rPr>
            </w:pPr>
            <w:r>
              <w:rPr>
                <w:rFonts w:hint="eastAsia" w:ascii="宋体" w:hAnsi="宋体"/>
                <w:szCs w:val="21"/>
              </w:rPr>
              <w:t>三亚西河（辽家坡路—槟榔村）河岸景观工程（代建管理）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exact"/>
        </w:trPr>
        <w:tc>
          <w:tcPr>
            <w:tcW w:w="900" w:type="dxa"/>
            <w:vAlign w:val="center"/>
          </w:tcPr>
          <w:p>
            <w:pPr>
              <w:jc w:val="center"/>
            </w:pPr>
            <w:r>
              <w:rPr>
                <w:rFonts w:hint="eastAsia"/>
              </w:rPr>
              <w:t>1.1.5</w:t>
            </w:r>
          </w:p>
        </w:tc>
        <w:tc>
          <w:tcPr>
            <w:tcW w:w="2160" w:type="dxa"/>
            <w:vAlign w:val="center"/>
          </w:tcPr>
          <w:p>
            <w:r>
              <w:rPr>
                <w:rFonts w:hint="eastAsia"/>
              </w:rPr>
              <w:t>建设地点</w:t>
            </w:r>
          </w:p>
        </w:tc>
        <w:tc>
          <w:tcPr>
            <w:tcW w:w="6300" w:type="dxa"/>
            <w:vAlign w:val="center"/>
          </w:tcPr>
          <w:p>
            <w:pPr>
              <w:spacing w:line="360" w:lineRule="auto"/>
              <w:rPr>
                <w:szCs w:val="21"/>
              </w:rPr>
            </w:pPr>
            <w:r>
              <w:rPr>
                <w:rFonts w:hint="eastAsia" w:ascii="宋体" w:hAnsi="宋体"/>
                <w:szCs w:val="21"/>
              </w:rPr>
              <w:t>三亚西河（辽家坡路—槟榔村）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00" w:type="dxa"/>
            <w:vAlign w:val="center"/>
          </w:tcPr>
          <w:p>
            <w:pPr>
              <w:jc w:val="center"/>
            </w:pPr>
            <w:r>
              <w:rPr>
                <w:rFonts w:hint="eastAsia"/>
              </w:rPr>
              <w:t>1.2.1</w:t>
            </w:r>
          </w:p>
        </w:tc>
        <w:tc>
          <w:tcPr>
            <w:tcW w:w="2160" w:type="dxa"/>
            <w:vAlign w:val="center"/>
          </w:tcPr>
          <w:p>
            <w:r>
              <w:rPr>
                <w:rFonts w:hint="eastAsia"/>
              </w:rPr>
              <w:t>资金来源</w:t>
            </w:r>
          </w:p>
        </w:tc>
        <w:tc>
          <w:tcPr>
            <w:tcW w:w="6300" w:type="dxa"/>
            <w:vAlign w:val="center"/>
          </w:tcPr>
          <w:p>
            <w:r>
              <w:rPr>
                <w:rFonts w:hint="eastAsia"/>
              </w:rPr>
              <w:t>政府投资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00" w:type="dxa"/>
            <w:vAlign w:val="center"/>
          </w:tcPr>
          <w:p>
            <w:pPr>
              <w:jc w:val="center"/>
            </w:pPr>
            <w:r>
              <w:rPr>
                <w:rFonts w:hint="eastAsia"/>
              </w:rPr>
              <w:t>1.2.2</w:t>
            </w:r>
          </w:p>
        </w:tc>
        <w:tc>
          <w:tcPr>
            <w:tcW w:w="2160" w:type="dxa"/>
            <w:vAlign w:val="center"/>
          </w:tcPr>
          <w:p>
            <w:r>
              <w:rPr>
                <w:rFonts w:hint="eastAsia"/>
              </w:rPr>
              <w:t>出资比例</w:t>
            </w:r>
          </w:p>
        </w:tc>
        <w:tc>
          <w:tcPr>
            <w:tcW w:w="6300" w:type="dxa"/>
            <w:vAlign w:val="center"/>
          </w:tcPr>
          <w:p>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00" w:type="dxa"/>
            <w:vAlign w:val="center"/>
          </w:tcPr>
          <w:p>
            <w:pPr>
              <w:jc w:val="center"/>
            </w:pPr>
            <w:r>
              <w:rPr>
                <w:rFonts w:hint="eastAsia"/>
              </w:rPr>
              <w:t>1.2.3</w:t>
            </w:r>
          </w:p>
        </w:tc>
        <w:tc>
          <w:tcPr>
            <w:tcW w:w="2160" w:type="dxa"/>
            <w:vAlign w:val="center"/>
          </w:tcPr>
          <w:p>
            <w:r>
              <w:rPr>
                <w:rFonts w:hint="eastAsia"/>
              </w:rPr>
              <w:t>资金落实情况</w:t>
            </w:r>
          </w:p>
        </w:tc>
        <w:tc>
          <w:tcPr>
            <w:tcW w:w="6300" w:type="dxa"/>
            <w:vAlign w:val="center"/>
          </w:tcPr>
          <w:p>
            <w:r>
              <w:rPr>
                <w:rFonts w:hint="eastAsia"/>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900" w:type="dxa"/>
            <w:vAlign w:val="center"/>
          </w:tcPr>
          <w:p>
            <w:pPr>
              <w:jc w:val="center"/>
            </w:pPr>
            <w:r>
              <w:rPr>
                <w:rFonts w:hint="eastAsia"/>
              </w:rPr>
              <w:t>1.3.1</w:t>
            </w:r>
          </w:p>
        </w:tc>
        <w:tc>
          <w:tcPr>
            <w:tcW w:w="2160" w:type="dxa"/>
            <w:vAlign w:val="center"/>
          </w:tcPr>
          <w:p>
            <w:r>
              <w:rPr>
                <w:rFonts w:hint="eastAsia"/>
              </w:rPr>
              <w:t>招标范围</w:t>
            </w:r>
          </w:p>
        </w:tc>
        <w:tc>
          <w:tcPr>
            <w:tcW w:w="6300" w:type="dxa"/>
            <w:vAlign w:val="center"/>
          </w:tcPr>
          <w:p>
            <w:pPr>
              <w:spacing w:line="360" w:lineRule="auto"/>
              <w:rPr>
                <w:rFonts w:ascii="宋体" w:hAnsi="宋体"/>
                <w:szCs w:val="21"/>
              </w:rPr>
            </w:pPr>
            <w:r>
              <w:rPr>
                <w:rFonts w:hint="eastAsia" w:ascii="宋体" w:hAnsi="宋体"/>
                <w:szCs w:val="21"/>
              </w:rPr>
              <w:t>全过程代建管理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1" w:hRule="atLeast"/>
        </w:trPr>
        <w:tc>
          <w:tcPr>
            <w:tcW w:w="900" w:type="dxa"/>
            <w:vAlign w:val="center"/>
          </w:tcPr>
          <w:p>
            <w:pPr>
              <w:jc w:val="center"/>
            </w:pPr>
            <w:r>
              <w:rPr>
                <w:rFonts w:hint="eastAsia"/>
              </w:rPr>
              <w:t>1.3.2</w:t>
            </w:r>
          </w:p>
        </w:tc>
        <w:tc>
          <w:tcPr>
            <w:tcW w:w="2160" w:type="dxa"/>
            <w:vAlign w:val="center"/>
          </w:tcPr>
          <w:p>
            <w:r>
              <w:rPr>
                <w:rFonts w:hint="eastAsia"/>
              </w:rPr>
              <w:t>计划工期</w:t>
            </w:r>
          </w:p>
        </w:tc>
        <w:tc>
          <w:tcPr>
            <w:tcW w:w="6300" w:type="dxa"/>
            <w:vAlign w:val="center"/>
          </w:tcPr>
          <w:p>
            <w:pPr>
              <w:spacing w:line="360" w:lineRule="auto"/>
              <w:rPr>
                <w:u w:val="single"/>
              </w:rPr>
            </w:pPr>
            <w:r>
              <w:rPr>
                <w:rFonts w:hint="eastAsia"/>
              </w:rPr>
              <w:t>计划工期：</w:t>
            </w:r>
            <w:r>
              <w:rPr>
                <w:u w:val="single"/>
              </w:rPr>
              <w:t>720</w:t>
            </w:r>
            <w:r>
              <w:rPr>
                <w:rFonts w:hint="eastAsia"/>
                <w:u w:val="single"/>
              </w:rPr>
              <w:t>日历天</w:t>
            </w:r>
          </w:p>
          <w:p>
            <w:pPr>
              <w:spacing w:line="360" w:lineRule="auto"/>
            </w:pPr>
            <w:r>
              <w:rPr>
                <w:rFonts w:hint="eastAsia"/>
              </w:rPr>
              <w:t>计划开工日期：</w:t>
            </w:r>
            <w:r>
              <w:rPr>
                <w:rFonts w:hint="eastAsia"/>
                <w:u w:val="single"/>
              </w:rPr>
              <w:t xml:space="preserve"> / </w:t>
            </w:r>
            <w:r>
              <w:rPr>
                <w:rFonts w:hint="eastAsia"/>
              </w:rPr>
              <w:t>年</w:t>
            </w:r>
            <w:r>
              <w:rPr>
                <w:rFonts w:hint="eastAsia"/>
                <w:u w:val="single"/>
              </w:rPr>
              <w:t xml:space="preserve"> / </w:t>
            </w:r>
            <w:r>
              <w:rPr>
                <w:rFonts w:hint="eastAsia"/>
              </w:rPr>
              <w:t>月</w:t>
            </w:r>
            <w:r>
              <w:rPr>
                <w:rFonts w:hint="eastAsia"/>
                <w:u w:val="single"/>
              </w:rPr>
              <w:t xml:space="preserve"> / </w:t>
            </w:r>
            <w:r>
              <w:rPr>
                <w:rFonts w:hint="eastAsia"/>
              </w:rPr>
              <w:t>日</w:t>
            </w:r>
          </w:p>
          <w:p>
            <w:pPr>
              <w:spacing w:line="360" w:lineRule="auto"/>
            </w:pPr>
            <w:r>
              <w:rPr>
                <w:rFonts w:hint="eastAsia"/>
              </w:rPr>
              <w:t>计划竣工日期：</w:t>
            </w:r>
            <w:r>
              <w:rPr>
                <w:rFonts w:hint="eastAsia"/>
                <w:u w:val="single"/>
              </w:rPr>
              <w:t xml:space="preserve"> / </w:t>
            </w:r>
            <w:r>
              <w:rPr>
                <w:rFonts w:hint="eastAsia"/>
              </w:rPr>
              <w:t>年</w:t>
            </w:r>
            <w:r>
              <w:rPr>
                <w:rFonts w:hint="eastAsia"/>
                <w:u w:val="single"/>
              </w:rPr>
              <w:t xml:space="preserve"> / </w:t>
            </w:r>
            <w:r>
              <w:rPr>
                <w:rFonts w:hint="eastAsia"/>
              </w:rPr>
              <w:t>月</w:t>
            </w:r>
            <w:r>
              <w:rPr>
                <w:rFonts w:hint="eastAsia"/>
                <w:u w:val="single"/>
              </w:rPr>
              <w:t xml:space="preserve"> / </w:t>
            </w:r>
            <w:r>
              <w:rPr>
                <w:rFonts w:hint="eastAsia"/>
              </w:rPr>
              <w:t>日</w:t>
            </w:r>
          </w:p>
          <w:p>
            <w:pPr>
              <w:spacing w:line="360" w:lineRule="auto"/>
            </w:pPr>
            <w:r>
              <w:rPr>
                <w:rFonts w:hint="eastAsia"/>
              </w:rPr>
              <w:t>除上述总工期外，发包人还要求以下区段</w:t>
            </w:r>
          </w:p>
          <w:p>
            <w:pPr>
              <w:spacing w:line="360" w:lineRule="auto"/>
            </w:pPr>
            <w:r>
              <w:rPr>
                <w:rFonts w:hint="eastAsia"/>
              </w:rPr>
              <w:t>工期：</w:t>
            </w:r>
          </w:p>
          <w:p>
            <w:pPr>
              <w:spacing w:line="360" w:lineRule="auto"/>
              <w:rPr>
                <w:u w:val="single"/>
              </w:rPr>
            </w:pPr>
            <w:r>
              <w:rPr>
                <w:rFonts w:hint="eastAsia"/>
                <w:u w:val="single"/>
              </w:rPr>
              <w:t xml:space="preserve">                /                     </w:t>
            </w:r>
          </w:p>
        </w:tc>
      </w:tr>
    </w:tbl>
    <w:p/>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2150"/>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910" w:type="dxa"/>
            <w:vAlign w:val="center"/>
          </w:tcPr>
          <w:p>
            <w:pPr>
              <w:jc w:val="center"/>
            </w:pPr>
            <w:r>
              <w:rPr>
                <w:rFonts w:hint="eastAsia"/>
              </w:rPr>
              <w:t>1.3.3</w:t>
            </w:r>
          </w:p>
        </w:tc>
        <w:tc>
          <w:tcPr>
            <w:tcW w:w="2150" w:type="dxa"/>
            <w:vAlign w:val="center"/>
          </w:tcPr>
          <w:p>
            <w:r>
              <w:rPr>
                <w:rFonts w:hint="eastAsia"/>
              </w:rPr>
              <w:t>质量要求</w:t>
            </w:r>
          </w:p>
        </w:tc>
        <w:tc>
          <w:tcPr>
            <w:tcW w:w="6300" w:type="dxa"/>
            <w:vAlign w:val="center"/>
          </w:tcPr>
          <w:p>
            <w:pPr>
              <w:spacing w:line="312" w:lineRule="auto"/>
            </w:pPr>
            <w:r>
              <w:rPr>
                <w:rFonts w:hint="eastAsia" w:ascii="宋体" w:hAnsi="宋体"/>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910" w:type="dxa"/>
            <w:vAlign w:val="center"/>
          </w:tcPr>
          <w:p>
            <w:pPr>
              <w:jc w:val="center"/>
            </w:pPr>
            <w:r>
              <w:rPr>
                <w:rFonts w:hint="eastAsia"/>
              </w:rPr>
              <w:t>1.4.1</w:t>
            </w:r>
          </w:p>
        </w:tc>
        <w:tc>
          <w:tcPr>
            <w:tcW w:w="2150" w:type="dxa"/>
            <w:vAlign w:val="center"/>
          </w:tcPr>
          <w:p>
            <w:r>
              <w:rPr>
                <w:rFonts w:hint="eastAsia"/>
              </w:rPr>
              <w:t>投标人资质条件、能力和信誉</w:t>
            </w:r>
          </w:p>
        </w:tc>
        <w:tc>
          <w:tcPr>
            <w:tcW w:w="6300" w:type="dxa"/>
            <w:vAlign w:val="center"/>
          </w:tcPr>
          <w:p>
            <w:pPr>
              <w:spacing w:line="400" w:lineRule="exact"/>
              <w:rPr>
                <w:bCs/>
                <w:szCs w:val="21"/>
              </w:rPr>
            </w:pPr>
            <w:r>
              <w:rPr>
                <w:b/>
                <w:szCs w:val="21"/>
              </w:rPr>
              <w:t>资质条件：</w:t>
            </w:r>
            <w:r>
              <w:rPr>
                <w:rFonts w:hint="eastAsia"/>
                <w:bCs/>
                <w:szCs w:val="21"/>
              </w:rPr>
              <w:t>具有综合甲级工程设计或综合甲级工程监理或施工总承包一级资质或者甲级工程咨询或甲级工程造价咨询资质。</w:t>
            </w:r>
          </w:p>
          <w:p>
            <w:pPr>
              <w:spacing w:line="400" w:lineRule="exact"/>
              <w:rPr>
                <w:szCs w:val="21"/>
              </w:rPr>
            </w:pPr>
            <w:r>
              <w:rPr>
                <w:b/>
                <w:szCs w:val="21"/>
              </w:rPr>
              <w:t>信誉要求</w:t>
            </w:r>
            <w:r>
              <w:rPr>
                <w:szCs w:val="21"/>
              </w:rPr>
              <w:t>：</w:t>
            </w:r>
            <w:r>
              <w:rPr>
                <w:rFonts w:hint="eastAsia"/>
                <w:szCs w:val="21"/>
              </w:rPr>
              <w:t>1、2017年1月1日至投标人递交投标文件截止之日止，投标人无住房和城乡建设部、海南省住房和城乡建设厅及我市建设行政主管部门认定的在责令期内的不良行为记录和限制期内不得参加招标投标行为的处罚记录。</w:t>
            </w:r>
          </w:p>
          <w:p>
            <w:pPr>
              <w:spacing w:line="400" w:lineRule="exact"/>
              <w:rPr>
                <w:szCs w:val="21"/>
              </w:rPr>
            </w:pPr>
            <w:r>
              <w:rPr>
                <w:rFonts w:hint="eastAsia"/>
                <w:b/>
                <w:szCs w:val="21"/>
              </w:rPr>
              <w:t>项目负责人（项目经理）</w:t>
            </w:r>
            <w:r>
              <w:rPr>
                <w:rFonts w:hint="eastAsia"/>
                <w:szCs w:val="21"/>
              </w:rPr>
              <w:t>：具备高级技术职称或注册监理工程师或一级建造师或咨询工程师（投资）职业资格且有相关从业经验（其中一项即可）。</w:t>
            </w:r>
          </w:p>
          <w:p>
            <w:pPr>
              <w:spacing w:line="400" w:lineRule="exact"/>
              <w:rPr>
                <w:b/>
                <w:szCs w:val="21"/>
              </w:rPr>
            </w:pPr>
            <w:r>
              <w:rPr>
                <w:rFonts w:hint="eastAsia"/>
                <w:b/>
                <w:szCs w:val="21"/>
              </w:rPr>
              <w:t>其他要求：</w:t>
            </w:r>
          </w:p>
          <w:p>
            <w:pPr>
              <w:numPr>
                <w:ilvl w:val="0"/>
                <w:numId w:val="3"/>
              </w:numPr>
              <w:spacing w:line="400" w:lineRule="exact"/>
              <w:rPr>
                <w:b/>
                <w:szCs w:val="21"/>
              </w:rPr>
            </w:pPr>
            <w:r>
              <w:rPr>
                <w:rFonts w:hint="eastAsia"/>
                <w:bCs/>
                <w:szCs w:val="21"/>
              </w:rPr>
              <w:t>具有独立法人资格 ，并为自负盈亏的经济实体；</w:t>
            </w:r>
          </w:p>
          <w:p>
            <w:pPr>
              <w:numPr>
                <w:ilvl w:val="0"/>
                <w:numId w:val="3"/>
              </w:numPr>
              <w:spacing w:line="400" w:lineRule="exact"/>
              <w:rPr>
                <w:b/>
                <w:szCs w:val="21"/>
              </w:rPr>
            </w:pPr>
            <w:r>
              <w:rPr>
                <w:rFonts w:hint="eastAsia"/>
                <w:bCs/>
                <w:szCs w:val="21"/>
              </w:rPr>
              <w:t>具有综合甲级工程设计或综合甲级工程监理或施工总承包一级资质或者甲级工程咨询或甲级工程造价咨询资质；</w:t>
            </w:r>
          </w:p>
          <w:p>
            <w:pPr>
              <w:numPr>
                <w:ilvl w:val="0"/>
                <w:numId w:val="3"/>
              </w:numPr>
              <w:spacing w:line="400" w:lineRule="exact"/>
              <w:rPr>
                <w:b/>
                <w:szCs w:val="21"/>
              </w:rPr>
            </w:pPr>
            <w:r>
              <w:rPr>
                <w:rFonts w:hint="eastAsia"/>
                <w:bCs/>
                <w:szCs w:val="21"/>
              </w:rPr>
              <w:t>具有与同类工程建设管理相适应的组织机构和项目管理体系；</w:t>
            </w:r>
          </w:p>
          <w:p>
            <w:pPr>
              <w:numPr>
                <w:ilvl w:val="0"/>
                <w:numId w:val="3"/>
              </w:numPr>
              <w:spacing w:line="400" w:lineRule="exact"/>
              <w:rPr>
                <w:b/>
                <w:szCs w:val="21"/>
              </w:rPr>
            </w:pPr>
            <w:r>
              <w:rPr>
                <w:rFonts w:hint="eastAsia"/>
                <w:bCs/>
                <w:szCs w:val="21"/>
              </w:rPr>
              <w:t>具有与工程建设规模和技术要求相适应的技术、造价、财务和管理等方面的专业人员，并具有从事同类工程建设管理经验；</w:t>
            </w:r>
          </w:p>
          <w:p>
            <w:pPr>
              <w:numPr>
                <w:ilvl w:val="0"/>
                <w:numId w:val="3"/>
              </w:numPr>
              <w:spacing w:line="400" w:lineRule="exact"/>
              <w:rPr>
                <w:b/>
                <w:szCs w:val="21"/>
              </w:rPr>
            </w:pPr>
            <w:r>
              <w:rPr>
                <w:rFonts w:hint="eastAsia"/>
                <w:bCs/>
                <w:szCs w:val="21"/>
              </w:rPr>
              <w:t>具有与项目相适应的资金实力。工程施工单位的注册资金必须在5亿元及以上，工程设计、工程监理、工程咨询单位的注册资金必须在3000万元及以上；</w:t>
            </w:r>
          </w:p>
          <w:p>
            <w:pPr>
              <w:numPr>
                <w:ilvl w:val="0"/>
                <w:numId w:val="3"/>
              </w:numPr>
              <w:spacing w:line="400" w:lineRule="exact"/>
              <w:rPr>
                <w:szCs w:val="21"/>
              </w:rPr>
            </w:pPr>
            <w:r>
              <w:rPr>
                <w:rFonts w:hint="eastAsia"/>
                <w:szCs w:val="21"/>
              </w:rPr>
              <w:t>持有《海南省建筑企业诚信档案手册》或《海南省建设工程造价咨询企业信用管理手册》，并在海南省数字认证中心办理CA数字证书。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trPr>
        <w:tc>
          <w:tcPr>
            <w:tcW w:w="910" w:type="dxa"/>
            <w:vAlign w:val="center"/>
          </w:tcPr>
          <w:p>
            <w:pPr>
              <w:jc w:val="center"/>
            </w:pPr>
            <w:r>
              <w:rPr>
                <w:rFonts w:hint="eastAsia"/>
              </w:rPr>
              <w:t>1.4.2</w:t>
            </w:r>
          </w:p>
        </w:tc>
        <w:tc>
          <w:tcPr>
            <w:tcW w:w="2150" w:type="dxa"/>
            <w:vAlign w:val="center"/>
          </w:tcPr>
          <w:p>
            <w:r>
              <w:rPr>
                <w:rFonts w:hint="eastAsia"/>
              </w:rPr>
              <w:t>是否接受联合体投标</w:t>
            </w:r>
          </w:p>
        </w:tc>
        <w:tc>
          <w:tcPr>
            <w:tcW w:w="6300" w:type="dxa"/>
            <w:vAlign w:val="center"/>
          </w:tcPr>
          <w:p>
            <w:pPr>
              <w:spacing w:line="312" w:lineRule="auto"/>
            </w:pPr>
            <w:r>
              <w:rPr>
                <w:rFonts w:hint="eastAsia" w:hAnsi="宋体"/>
                <w:szCs w:val="21"/>
                <w:bdr w:val="single" w:color="auto" w:sz="4" w:space="0"/>
              </w:rPr>
              <w:t>√</w:t>
            </w:r>
            <w:r>
              <w:rPr>
                <w:rFonts w:hint="eastAsia"/>
              </w:rPr>
              <w:t>不接受</w:t>
            </w:r>
          </w:p>
          <w:p>
            <w:pPr>
              <w:spacing w:line="312" w:lineRule="auto"/>
            </w:pPr>
            <w:r>
              <w:rPr>
                <w:rFonts w:hint="eastAsia"/>
              </w:rPr>
              <w:t>□接受，应满足下列要求：</w:t>
            </w:r>
          </w:p>
          <w:p>
            <w:pPr>
              <w:spacing w:line="312" w:lineRule="auto"/>
            </w:pPr>
            <w:r>
              <w:rPr>
                <w:rFonts w:hint="eastAsia"/>
              </w:rPr>
              <w:t>联合体资质按照联合体协议约定的分工认定。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trPr>
        <w:tc>
          <w:tcPr>
            <w:tcW w:w="910" w:type="dxa"/>
            <w:vAlign w:val="center"/>
          </w:tcPr>
          <w:p>
            <w:pPr>
              <w:jc w:val="center"/>
            </w:pPr>
            <w:r>
              <w:rPr>
                <w:rFonts w:hint="eastAsia"/>
              </w:rPr>
              <w:t>1.9.1</w:t>
            </w:r>
          </w:p>
        </w:tc>
        <w:tc>
          <w:tcPr>
            <w:tcW w:w="2150" w:type="dxa"/>
            <w:vAlign w:val="center"/>
          </w:tcPr>
          <w:p>
            <w:r>
              <w:rPr>
                <w:rFonts w:hint="eastAsia"/>
              </w:rPr>
              <w:t>踏勘现场</w:t>
            </w:r>
          </w:p>
        </w:tc>
        <w:tc>
          <w:tcPr>
            <w:tcW w:w="6300" w:type="dxa"/>
            <w:vAlign w:val="center"/>
          </w:tcPr>
          <w:p>
            <w:pPr>
              <w:spacing w:line="312" w:lineRule="auto"/>
            </w:pPr>
            <w:r>
              <w:rPr>
                <w:rFonts w:hint="eastAsia" w:hAnsi="宋体"/>
                <w:szCs w:val="21"/>
                <w:bdr w:val="single" w:color="auto" w:sz="4" w:space="0"/>
              </w:rPr>
              <w:t>√</w:t>
            </w:r>
            <w:r>
              <w:rPr>
                <w:rFonts w:hint="eastAsia"/>
              </w:rPr>
              <w:t>不组织</w:t>
            </w:r>
          </w:p>
          <w:p>
            <w:pPr>
              <w:spacing w:line="312" w:lineRule="auto"/>
            </w:pPr>
            <w:r>
              <w:rPr>
                <w:rFonts w:hint="eastAsia"/>
              </w:rPr>
              <w:t>□组织，踏勘时间：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910" w:type="dxa"/>
            <w:vAlign w:val="center"/>
          </w:tcPr>
          <w:p>
            <w:pPr>
              <w:jc w:val="center"/>
            </w:pPr>
            <w:r>
              <w:rPr>
                <w:rFonts w:hint="eastAsia"/>
              </w:rPr>
              <w:t>1.10.1</w:t>
            </w:r>
          </w:p>
        </w:tc>
        <w:tc>
          <w:tcPr>
            <w:tcW w:w="2150" w:type="dxa"/>
            <w:vAlign w:val="center"/>
          </w:tcPr>
          <w:p>
            <w:r>
              <w:rPr>
                <w:rFonts w:hint="eastAsia"/>
              </w:rPr>
              <w:t>投标预备会</w:t>
            </w:r>
          </w:p>
        </w:tc>
        <w:tc>
          <w:tcPr>
            <w:tcW w:w="6300" w:type="dxa"/>
            <w:vAlign w:val="center"/>
          </w:tcPr>
          <w:p>
            <w:pPr>
              <w:spacing w:line="312" w:lineRule="auto"/>
            </w:pPr>
            <w:r>
              <w:rPr>
                <w:rFonts w:hint="eastAsia" w:hAnsi="宋体"/>
                <w:szCs w:val="21"/>
                <w:bdr w:val="single" w:color="auto" w:sz="4" w:space="0"/>
              </w:rPr>
              <w:t>√</w:t>
            </w:r>
            <w:r>
              <w:rPr>
                <w:rFonts w:hint="eastAsia"/>
              </w:rPr>
              <w:t>不召开</w:t>
            </w:r>
          </w:p>
          <w:p>
            <w:pPr>
              <w:spacing w:line="312" w:lineRule="auto"/>
            </w:pPr>
            <w:r>
              <w:rPr>
                <w:rFonts w:hint="eastAsia"/>
              </w:rPr>
              <w:t>□召开，召开时间：</w:t>
            </w:r>
          </w:p>
          <w:p>
            <w:pPr>
              <w:spacing w:line="312" w:lineRule="auto"/>
            </w:pPr>
            <w:r>
              <w:rPr>
                <w:rFonts w:hint="eastAsia"/>
              </w:rPr>
              <w:t xml:space="preserve">        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10" w:type="dxa"/>
            <w:vAlign w:val="center"/>
          </w:tcPr>
          <w:p>
            <w:pPr>
              <w:jc w:val="center"/>
            </w:pPr>
            <w:r>
              <w:rPr>
                <w:rFonts w:hint="eastAsia"/>
              </w:rPr>
              <w:t>1.10.2</w:t>
            </w:r>
          </w:p>
        </w:tc>
        <w:tc>
          <w:tcPr>
            <w:tcW w:w="2150" w:type="dxa"/>
            <w:vAlign w:val="center"/>
          </w:tcPr>
          <w:p>
            <w:r>
              <w:rPr>
                <w:rFonts w:hint="eastAsia"/>
              </w:rPr>
              <w:t>投标人提出问题的截止时间</w:t>
            </w:r>
          </w:p>
        </w:tc>
        <w:tc>
          <w:tcPr>
            <w:tcW w:w="6300" w:type="dxa"/>
            <w:vAlign w:val="center"/>
          </w:tcPr>
          <w:p>
            <w:pPr>
              <w:spacing w:line="312" w:lineRule="auto"/>
            </w:pPr>
            <w:r>
              <w:rPr>
                <w:rFonts w:hint="eastAsia" w:ascii="宋体" w:hAnsi="宋体" w:cs="TimesNewRomanPSMT"/>
                <w:kern w:val="0"/>
                <w:szCs w:val="21"/>
              </w:rPr>
              <w:t>投标截止时间10天前以书面形式向招标人或代理人提出澄清要求。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10" w:type="dxa"/>
            <w:vAlign w:val="center"/>
          </w:tcPr>
          <w:p>
            <w:pPr>
              <w:jc w:val="center"/>
            </w:pPr>
            <w:r>
              <w:rPr>
                <w:rFonts w:hint="eastAsia"/>
              </w:rPr>
              <w:t>1.10.3</w:t>
            </w:r>
          </w:p>
        </w:tc>
        <w:tc>
          <w:tcPr>
            <w:tcW w:w="2150" w:type="dxa"/>
            <w:vAlign w:val="center"/>
          </w:tcPr>
          <w:p>
            <w:r>
              <w:rPr>
                <w:rFonts w:hint="eastAsia"/>
              </w:rPr>
              <w:t>招标人书面澄清的时间</w:t>
            </w:r>
          </w:p>
        </w:tc>
        <w:tc>
          <w:tcPr>
            <w:tcW w:w="6300" w:type="dxa"/>
            <w:vAlign w:val="center"/>
          </w:tcPr>
          <w:p>
            <w:pPr>
              <w:spacing w:line="312" w:lineRule="auto"/>
            </w:pPr>
            <w:r>
              <w:rPr>
                <w:rFonts w:hint="eastAsia" w:ascii="宋体" w:hAnsi="宋体" w:cs="TimesNewRomanPSMT"/>
                <w:kern w:val="0"/>
                <w:szCs w:val="21"/>
              </w:rPr>
              <w:t>投标截止时间的15天前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8" w:hRule="atLeast"/>
        </w:trPr>
        <w:tc>
          <w:tcPr>
            <w:tcW w:w="910" w:type="dxa"/>
            <w:vAlign w:val="center"/>
          </w:tcPr>
          <w:p>
            <w:pPr>
              <w:jc w:val="center"/>
            </w:pPr>
            <w:r>
              <w:rPr>
                <w:rFonts w:hint="eastAsia"/>
              </w:rPr>
              <w:t>1.11</w:t>
            </w:r>
          </w:p>
        </w:tc>
        <w:tc>
          <w:tcPr>
            <w:tcW w:w="2150" w:type="dxa"/>
            <w:vAlign w:val="center"/>
          </w:tcPr>
          <w:p>
            <w:r>
              <w:rPr>
                <w:rFonts w:hint="eastAsia"/>
              </w:rPr>
              <w:t>分  包</w:t>
            </w:r>
          </w:p>
        </w:tc>
        <w:tc>
          <w:tcPr>
            <w:tcW w:w="6300" w:type="dxa"/>
            <w:vAlign w:val="center"/>
          </w:tcPr>
          <w:p>
            <w:pPr>
              <w:spacing w:line="312" w:lineRule="auto"/>
            </w:pPr>
            <w:r>
              <w:rPr>
                <w:rFonts w:hint="eastAsia" w:hAnsi="宋体"/>
                <w:szCs w:val="21"/>
                <w:bdr w:val="single" w:color="auto" w:sz="4" w:space="0"/>
              </w:rPr>
              <w:t>√</w:t>
            </w:r>
            <w:r>
              <w:rPr>
                <w:rFonts w:hint="eastAsia"/>
              </w:rPr>
              <w:t>不允许</w:t>
            </w:r>
          </w:p>
          <w:p>
            <w:pPr>
              <w:spacing w:line="312" w:lineRule="auto"/>
            </w:pPr>
            <w:r>
              <w:rPr>
                <w:rFonts w:hint="eastAsia"/>
              </w:rPr>
              <w:t>□允许，分包内容要求：</w:t>
            </w:r>
          </w:p>
          <w:p>
            <w:pPr>
              <w:spacing w:line="312" w:lineRule="auto"/>
            </w:pPr>
            <w:r>
              <w:rPr>
                <w:rFonts w:hint="eastAsia"/>
              </w:rPr>
              <w:t xml:space="preserve">        分包金额要求：</w:t>
            </w:r>
          </w:p>
          <w:p>
            <w:pPr>
              <w:spacing w:line="312" w:lineRule="auto"/>
            </w:pPr>
            <w:r>
              <w:rPr>
                <w:rFonts w:hint="eastAsia"/>
              </w:rPr>
              <w:t xml:space="preserve">        接受分包的第三人资质要求：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7" w:hRule="atLeast"/>
        </w:trPr>
        <w:tc>
          <w:tcPr>
            <w:tcW w:w="910" w:type="dxa"/>
            <w:vAlign w:val="center"/>
          </w:tcPr>
          <w:p>
            <w:pPr>
              <w:jc w:val="center"/>
            </w:pPr>
            <w:r>
              <w:rPr>
                <w:rFonts w:hint="eastAsia"/>
              </w:rPr>
              <w:t>1.12</w:t>
            </w:r>
          </w:p>
        </w:tc>
        <w:tc>
          <w:tcPr>
            <w:tcW w:w="2150" w:type="dxa"/>
            <w:vAlign w:val="center"/>
          </w:tcPr>
          <w:p>
            <w:r>
              <w:rPr>
                <w:rFonts w:hint="eastAsia"/>
              </w:rPr>
              <w:t>偏  离</w:t>
            </w:r>
          </w:p>
        </w:tc>
        <w:tc>
          <w:tcPr>
            <w:tcW w:w="6300" w:type="dxa"/>
            <w:vAlign w:val="center"/>
          </w:tcPr>
          <w:p>
            <w:pPr>
              <w:spacing w:line="288" w:lineRule="auto"/>
            </w:pPr>
            <w:r>
              <w:rPr>
                <w:rFonts w:hint="eastAsia" w:hAnsi="宋体"/>
                <w:szCs w:val="21"/>
                <w:bdr w:val="single" w:color="auto" w:sz="4" w:space="0"/>
              </w:rPr>
              <w:t>√</w:t>
            </w:r>
            <w:r>
              <w:rPr>
                <w:rFonts w:hint="eastAsia"/>
              </w:rPr>
              <w:t>不允许</w:t>
            </w:r>
          </w:p>
          <w:p>
            <w:pPr>
              <w:spacing w:line="288" w:lineRule="auto"/>
            </w:pPr>
            <w:r>
              <w:rPr>
                <w:rFonts w:hint="eastAsia"/>
              </w:rPr>
              <w:t>□允许，可偏离的项目和范围见第七章</w:t>
            </w:r>
          </w:p>
          <w:p>
            <w:pPr>
              <w:spacing w:line="288" w:lineRule="auto"/>
            </w:pPr>
            <w:r>
              <w:rPr>
                <w:rFonts w:hint="eastAsia"/>
              </w:rPr>
              <w:t xml:space="preserve">       “技术标准和要求”：</w:t>
            </w:r>
          </w:p>
          <w:p>
            <w:pPr>
              <w:spacing w:line="288" w:lineRule="auto"/>
            </w:pPr>
            <w:r>
              <w:rPr>
                <w:rFonts w:hint="eastAsia"/>
              </w:rPr>
              <w:t xml:space="preserve">        允许偏离最高项数：</w:t>
            </w:r>
            <w:r>
              <w:rPr>
                <w:rFonts w:hint="eastAsia"/>
                <w:u w:val="single"/>
              </w:rPr>
              <w:t xml:space="preserve">   /   </w:t>
            </w:r>
          </w:p>
          <w:p>
            <w:pPr>
              <w:spacing w:line="288" w:lineRule="auto"/>
            </w:pPr>
            <w:r>
              <w:rPr>
                <w:rFonts w:hint="eastAsia"/>
              </w:rPr>
              <w:t xml:space="preserve">        偏差调整方法：</w:t>
            </w:r>
            <w:r>
              <w:rPr>
                <w:rFonts w:hint="eastAsia"/>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0" w:type="dxa"/>
            <w:vAlign w:val="center"/>
          </w:tcPr>
          <w:p>
            <w:pPr>
              <w:jc w:val="center"/>
            </w:pPr>
            <w:r>
              <w:rPr>
                <w:rFonts w:hint="eastAsia"/>
              </w:rPr>
              <w:t>2.1</w:t>
            </w:r>
          </w:p>
        </w:tc>
        <w:tc>
          <w:tcPr>
            <w:tcW w:w="2150" w:type="dxa"/>
            <w:vAlign w:val="center"/>
          </w:tcPr>
          <w:p>
            <w:r>
              <w:rPr>
                <w:rFonts w:hint="eastAsia"/>
              </w:rPr>
              <w:t>构成招标文件的其他材料</w:t>
            </w:r>
          </w:p>
        </w:tc>
        <w:tc>
          <w:tcPr>
            <w:tcW w:w="6300" w:type="dxa"/>
            <w:vAlign w:val="center"/>
          </w:tcPr>
          <w:p>
            <w:pPr>
              <w:spacing w:line="288" w:lineRule="auto"/>
            </w:pPr>
            <w:r>
              <w:rPr>
                <w:rFonts w:hint="eastAsia" w:ascii="宋体" w:hAnsi="宋体" w:cs="TimesNewRomanPSMT"/>
                <w:kern w:val="0"/>
                <w:szCs w:val="21"/>
              </w:rPr>
              <w:t>招标文件的澄清、修改及补遗等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0" w:type="dxa"/>
            <w:vAlign w:val="center"/>
          </w:tcPr>
          <w:p>
            <w:pPr>
              <w:jc w:val="center"/>
            </w:pPr>
            <w:r>
              <w:rPr>
                <w:rFonts w:hint="eastAsia"/>
              </w:rPr>
              <w:t>2.2.1</w:t>
            </w:r>
          </w:p>
        </w:tc>
        <w:tc>
          <w:tcPr>
            <w:tcW w:w="2150" w:type="dxa"/>
            <w:vAlign w:val="center"/>
          </w:tcPr>
          <w:p>
            <w:r>
              <w:rPr>
                <w:rFonts w:hint="eastAsia"/>
              </w:rPr>
              <w:t>投标人要求澄清招标文件的截止时间</w:t>
            </w:r>
          </w:p>
        </w:tc>
        <w:tc>
          <w:tcPr>
            <w:tcW w:w="6300" w:type="dxa"/>
            <w:vAlign w:val="center"/>
          </w:tcPr>
          <w:p>
            <w:pPr>
              <w:spacing w:line="288" w:lineRule="auto"/>
            </w:pPr>
            <w:r>
              <w:rPr>
                <w:rFonts w:hint="eastAsia" w:ascii="宋体" w:hAnsi="宋体" w:cs="TimesNewRomanPSMT"/>
                <w:kern w:val="0"/>
                <w:szCs w:val="21"/>
              </w:rPr>
              <w:t>投标截止时间的15天前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0" w:type="dxa"/>
            <w:vAlign w:val="center"/>
          </w:tcPr>
          <w:p>
            <w:pPr>
              <w:jc w:val="center"/>
            </w:pPr>
            <w:r>
              <w:rPr>
                <w:rFonts w:hint="eastAsia"/>
              </w:rPr>
              <w:t>2.2.2</w:t>
            </w:r>
          </w:p>
        </w:tc>
        <w:tc>
          <w:tcPr>
            <w:tcW w:w="2150" w:type="dxa"/>
            <w:vAlign w:val="center"/>
          </w:tcPr>
          <w:p>
            <w:r>
              <w:rPr>
                <w:rFonts w:hint="eastAsia"/>
              </w:rPr>
              <w:t>投标截止时间</w:t>
            </w:r>
          </w:p>
        </w:tc>
        <w:tc>
          <w:tcPr>
            <w:tcW w:w="6300" w:type="dxa"/>
            <w:vAlign w:val="center"/>
          </w:tcPr>
          <w:p>
            <w:pPr>
              <w:spacing w:line="288" w:lineRule="auto"/>
              <w:rPr>
                <w:szCs w:val="21"/>
              </w:rPr>
            </w:pPr>
            <w:r>
              <w:rPr>
                <w:rFonts w:hint="eastAsia"/>
                <w:szCs w:val="21"/>
              </w:rPr>
              <w:t xml:space="preserve"> 2020年 </w:t>
            </w:r>
            <w:r>
              <w:rPr>
                <w:szCs w:val="21"/>
              </w:rPr>
              <w:t xml:space="preserve">6 </w:t>
            </w:r>
            <w:r>
              <w:rPr>
                <w:rFonts w:hint="eastAsia"/>
                <w:szCs w:val="21"/>
              </w:rPr>
              <w:t xml:space="preserve"> 月 </w:t>
            </w:r>
            <w:r>
              <w:rPr>
                <w:szCs w:val="21"/>
              </w:rPr>
              <w:t>19</w:t>
            </w:r>
            <w:r>
              <w:rPr>
                <w:rFonts w:hint="eastAsia"/>
                <w:szCs w:val="21"/>
              </w:rPr>
              <w:t xml:space="preserve"> 日 </w:t>
            </w:r>
            <w:r>
              <w:rPr>
                <w:szCs w:val="21"/>
              </w:rPr>
              <w:t>09</w:t>
            </w:r>
            <w:r>
              <w:rPr>
                <w:rFonts w:hint="eastAsia"/>
                <w:szCs w:val="21"/>
              </w:rPr>
              <w:t xml:space="preserve">  时 </w:t>
            </w:r>
            <w:r>
              <w:rPr>
                <w:szCs w:val="21"/>
              </w:rPr>
              <w:t>00</w:t>
            </w:r>
            <w:r>
              <w:rPr>
                <w:rFonts w:hint="eastAsia"/>
                <w:szCs w:val="21"/>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0" w:type="dxa"/>
            <w:vAlign w:val="center"/>
          </w:tcPr>
          <w:p>
            <w:pPr>
              <w:jc w:val="center"/>
            </w:pPr>
            <w:r>
              <w:rPr>
                <w:rFonts w:hint="eastAsia"/>
              </w:rPr>
              <w:t>2.2.3</w:t>
            </w:r>
          </w:p>
        </w:tc>
        <w:tc>
          <w:tcPr>
            <w:tcW w:w="2150" w:type="dxa"/>
            <w:vAlign w:val="center"/>
          </w:tcPr>
          <w:p>
            <w:r>
              <w:rPr>
                <w:rFonts w:hint="eastAsia"/>
              </w:rPr>
              <w:t>投标人确认收到招标文件澄清的时间</w:t>
            </w:r>
          </w:p>
        </w:tc>
        <w:tc>
          <w:tcPr>
            <w:tcW w:w="6300" w:type="dxa"/>
            <w:vAlign w:val="center"/>
          </w:tcPr>
          <w:p>
            <w:pPr>
              <w:spacing w:line="288" w:lineRule="auto"/>
              <w:rPr>
                <w:u w:val="single"/>
              </w:rPr>
            </w:pPr>
            <w:r>
              <w:rPr>
                <w:rFonts w:hint="eastAsia"/>
              </w:rPr>
              <w:t>在收到相应澄清文件后</w:t>
            </w:r>
            <w:r>
              <w:rPr>
                <w:rFonts w:hint="eastAsia"/>
                <w:u w:val="single"/>
              </w:rPr>
              <w:t xml:space="preserve"> 24 </w:t>
            </w:r>
            <w:r>
              <w:rPr>
                <w:rFonts w:hint="eastAsia"/>
              </w:rPr>
              <w:t>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0" w:type="dxa"/>
            <w:vAlign w:val="center"/>
          </w:tcPr>
          <w:p>
            <w:pPr>
              <w:jc w:val="center"/>
            </w:pPr>
            <w:r>
              <w:rPr>
                <w:rFonts w:hint="eastAsia"/>
              </w:rPr>
              <w:t>2.3.2</w:t>
            </w:r>
          </w:p>
        </w:tc>
        <w:tc>
          <w:tcPr>
            <w:tcW w:w="2150" w:type="dxa"/>
            <w:vAlign w:val="center"/>
          </w:tcPr>
          <w:p>
            <w:r>
              <w:rPr>
                <w:rFonts w:hint="eastAsia"/>
              </w:rPr>
              <w:t>投标人确认收到招标文件修改的时间</w:t>
            </w:r>
          </w:p>
        </w:tc>
        <w:tc>
          <w:tcPr>
            <w:tcW w:w="6300" w:type="dxa"/>
            <w:vAlign w:val="center"/>
          </w:tcPr>
          <w:p>
            <w:pPr>
              <w:spacing w:line="288" w:lineRule="auto"/>
            </w:pPr>
            <w:r>
              <w:rPr>
                <w:rFonts w:hint="eastAsia"/>
              </w:rPr>
              <w:t>在收到相应修改文件后</w:t>
            </w:r>
            <w:r>
              <w:rPr>
                <w:rFonts w:hint="eastAsia"/>
                <w:u w:val="single"/>
              </w:rPr>
              <w:t xml:space="preserve"> 24 </w:t>
            </w:r>
            <w:r>
              <w:rPr>
                <w:rFonts w:hint="eastAsia"/>
              </w:rPr>
              <w:t>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0" w:type="dxa"/>
            <w:vAlign w:val="center"/>
          </w:tcPr>
          <w:p>
            <w:pPr>
              <w:jc w:val="center"/>
            </w:pPr>
            <w:r>
              <w:rPr>
                <w:rFonts w:hint="eastAsia"/>
              </w:rPr>
              <w:t>3.1.1</w:t>
            </w:r>
          </w:p>
        </w:tc>
        <w:tc>
          <w:tcPr>
            <w:tcW w:w="2150" w:type="dxa"/>
            <w:vAlign w:val="center"/>
          </w:tcPr>
          <w:p>
            <w:r>
              <w:rPr>
                <w:rFonts w:hint="eastAsia"/>
              </w:rPr>
              <w:t>构成投标文件的其他材料</w:t>
            </w:r>
          </w:p>
        </w:tc>
        <w:tc>
          <w:tcPr>
            <w:tcW w:w="6300" w:type="dxa"/>
            <w:vAlign w:val="center"/>
          </w:tcPr>
          <w:p>
            <w:pPr>
              <w:spacing w:line="288" w:lineRule="auto"/>
            </w:pPr>
            <w:r>
              <w:rPr>
                <w:rFonts w:hint="eastAsia" w:ascii="宋体" w:hAnsi="宋体" w:cs="TimesNewRomanPSMT"/>
                <w:kern w:val="0"/>
                <w:szCs w:val="21"/>
              </w:rPr>
              <w:t>投标文件的澄清、修改及补正等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0" w:type="dxa"/>
            <w:vAlign w:val="center"/>
          </w:tcPr>
          <w:p>
            <w:pPr>
              <w:jc w:val="center"/>
            </w:pPr>
            <w:r>
              <w:rPr>
                <w:rFonts w:hint="eastAsia"/>
              </w:rPr>
              <w:t>3.3.1</w:t>
            </w:r>
          </w:p>
        </w:tc>
        <w:tc>
          <w:tcPr>
            <w:tcW w:w="2150" w:type="dxa"/>
            <w:vAlign w:val="center"/>
          </w:tcPr>
          <w:p>
            <w:r>
              <w:rPr>
                <w:rFonts w:hint="eastAsia"/>
              </w:rPr>
              <w:t>投标有效期</w:t>
            </w:r>
          </w:p>
        </w:tc>
        <w:tc>
          <w:tcPr>
            <w:tcW w:w="6300" w:type="dxa"/>
            <w:vAlign w:val="center"/>
          </w:tcPr>
          <w:p>
            <w:pPr>
              <w:spacing w:line="288" w:lineRule="auto"/>
            </w:pPr>
            <w:r>
              <w:rPr>
                <w:rFonts w:hint="eastAsia"/>
                <w:u w:val="single"/>
              </w:rPr>
              <w:t xml:space="preserve"> 60 </w:t>
            </w:r>
            <w:r>
              <w:rPr>
                <w:rFonts w:hint="eastAsia"/>
              </w:rPr>
              <w:t>天</w:t>
            </w:r>
            <w:r>
              <w:rPr>
                <w:rFonts w:hint="eastAsia" w:ascii="宋体" w:hAnsi="宋体" w:cs="TimesNewRomanPSMT"/>
                <w:kern w:val="0"/>
                <w:szCs w:val="21"/>
              </w:rPr>
              <w:t>（自投标截止时间之日起60日历天）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910" w:type="dxa"/>
            <w:vAlign w:val="center"/>
          </w:tcPr>
          <w:p>
            <w:pPr>
              <w:jc w:val="center"/>
            </w:pPr>
            <w:r>
              <w:rPr>
                <w:rFonts w:hint="eastAsia"/>
              </w:rPr>
              <w:t>3.4.1</w:t>
            </w:r>
          </w:p>
        </w:tc>
        <w:tc>
          <w:tcPr>
            <w:tcW w:w="2150" w:type="dxa"/>
            <w:vAlign w:val="center"/>
          </w:tcPr>
          <w:p>
            <w:r>
              <w:rPr>
                <w:rFonts w:hint="eastAsia"/>
              </w:rPr>
              <w:t>投标保证金</w:t>
            </w:r>
          </w:p>
        </w:tc>
        <w:tc>
          <w:tcPr>
            <w:tcW w:w="6300" w:type="dxa"/>
            <w:vAlign w:val="center"/>
          </w:tcPr>
          <w:p>
            <w:pPr>
              <w:rPr>
                <w:u w:val="single"/>
              </w:rPr>
            </w:pPr>
            <w:r>
              <w:rPr>
                <w:rFonts w:hint="eastAsia"/>
              </w:rPr>
              <w:t>投标保证金的形式：</w:t>
            </w:r>
            <w:r>
              <w:rPr>
                <w:rFonts w:hint="eastAsia"/>
                <w:u w:val="single"/>
              </w:rPr>
              <w:t>银行转账（从基本账户转出）、银行保函。</w:t>
            </w:r>
          </w:p>
          <w:p>
            <w:pPr>
              <w:rPr>
                <w:u w:val="single"/>
              </w:rPr>
            </w:pPr>
            <w:r>
              <w:rPr>
                <w:rFonts w:hint="eastAsia"/>
                <w:u w:val="single"/>
              </w:rPr>
              <w:t xml:space="preserve">投标人以转账形式递交保证金时，必须在线通过建设工程交易系统中获取系统分配的子帐号，按系统保证金缴纳要求转出。银行转账应当从其基本账户中转出投标保证金缴纳后需经系统确认，和项目进行关联，未关联成功的视为未缴纳保证金。（注：投标保证金以银行保函递交的，保函格式可不采用招标文件中提供的格式，但相关内容不得背离招标文件约定的实质性内容，出具保函的银行或保险公司须为中国境内注册的合法有效机构。） </w:t>
            </w:r>
          </w:p>
          <w:p>
            <w:pPr>
              <w:rPr>
                <w:b/>
              </w:rPr>
            </w:pPr>
            <w:r>
              <w:rPr>
                <w:rFonts w:hint="eastAsia"/>
              </w:rPr>
              <w:t>投标保证金的金额：</w:t>
            </w:r>
            <w:r>
              <w:rPr>
                <w:rFonts w:hint="eastAsia"/>
                <w:b/>
              </w:rPr>
              <w:t>10000.00元</w:t>
            </w:r>
          </w:p>
          <w:p>
            <w:r>
              <w:rPr>
                <w:rFonts w:hint="eastAsia"/>
                <w:u w:val="single"/>
              </w:rPr>
              <w:t xml:space="preserve">2020年6 月 19 日 </w:t>
            </w:r>
            <w:r>
              <w:rPr>
                <w:u w:val="single"/>
              </w:rPr>
              <w:t>09</w:t>
            </w:r>
            <w:r>
              <w:rPr>
                <w:rFonts w:hint="eastAsia"/>
                <w:u w:val="single"/>
              </w:rPr>
              <w:t xml:space="preserve">  时 </w:t>
            </w:r>
            <w:r>
              <w:rPr>
                <w:u w:val="single"/>
              </w:rPr>
              <w:t>00</w:t>
            </w:r>
            <w:r>
              <w:rPr>
                <w:rFonts w:hint="eastAsia"/>
                <w:u w:val="single"/>
              </w:rPr>
              <w:t xml:space="preserve"> 分</w:t>
            </w:r>
            <w:r>
              <w:rPr>
                <w:rFonts w:hint="eastAsia"/>
              </w:rPr>
              <w:t>止（以到帐时间为准），逾期无效，按废标处理。</w:t>
            </w:r>
          </w:p>
          <w:p>
            <w:pPr>
              <w:spacing w:line="288" w:lineRule="auto"/>
              <w:rPr>
                <w:rFonts w:ascii="宋体" w:hAnsi="宋体"/>
                <w:kern w:val="0"/>
                <w:szCs w:val="21"/>
                <w:u w:val="single"/>
              </w:rPr>
            </w:pPr>
            <w:r>
              <w:rPr>
                <w:rFonts w:hint="eastAsia" w:ascii="宋体" w:hAnsi="宋体"/>
                <w:kern w:val="0"/>
                <w:szCs w:val="21"/>
                <w:u w:val="single"/>
              </w:rPr>
              <w:t>网络支付地址：http://zw.hainan.gov.cn/ggzy/</w:t>
            </w:r>
          </w:p>
          <w:p>
            <w:pPr>
              <w:spacing w:line="288" w:lineRule="auto"/>
              <w:rPr>
                <w:rFonts w:ascii="宋体" w:hAnsi="宋体"/>
                <w:kern w:val="0"/>
                <w:szCs w:val="21"/>
                <w:u w:val="single"/>
              </w:rPr>
            </w:pPr>
            <w:r>
              <w:rPr>
                <w:rFonts w:hint="eastAsia" w:ascii="宋体" w:hAnsi="宋体"/>
                <w:kern w:val="0"/>
                <w:szCs w:val="21"/>
                <w:u w:val="single"/>
              </w:rPr>
              <w:t>帐号名称：获取地址全国公共资源交易平台（海南省）（http://zw.hainan.gov.cn/ggzy/）</w:t>
            </w:r>
          </w:p>
          <w:p>
            <w:pPr>
              <w:spacing w:line="288" w:lineRule="auto"/>
              <w:rPr>
                <w:rFonts w:ascii="宋体" w:hAnsi="宋体"/>
                <w:kern w:val="0"/>
                <w:szCs w:val="21"/>
                <w:u w:val="single"/>
              </w:rPr>
            </w:pPr>
            <w:r>
              <w:rPr>
                <w:rFonts w:hint="eastAsia" w:ascii="宋体" w:hAnsi="宋体"/>
                <w:kern w:val="0"/>
                <w:szCs w:val="21"/>
                <w:u w:val="single"/>
              </w:rPr>
              <w:t>帐号：获取地址全国公共资源交易平台（海南省）（http://zw.hainan.gov.cn/ggzy/）</w:t>
            </w:r>
          </w:p>
          <w:p>
            <w:pPr>
              <w:spacing w:line="288" w:lineRule="auto"/>
              <w:rPr>
                <w:rFonts w:ascii="宋体" w:hAnsi="宋体"/>
                <w:kern w:val="0"/>
                <w:szCs w:val="21"/>
                <w:u w:val="single"/>
              </w:rPr>
            </w:pPr>
            <w:r>
              <w:rPr>
                <w:rFonts w:hint="eastAsia" w:ascii="宋体" w:hAnsi="宋体"/>
                <w:kern w:val="0"/>
                <w:szCs w:val="21"/>
                <w:u w:val="single"/>
              </w:rPr>
              <w:t>开户银行：获取地址全国公共资源交易平台（海南省）（http://zw.hainan.gov.cn/ggzy/）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10" w:type="dxa"/>
            <w:vAlign w:val="center"/>
          </w:tcPr>
          <w:p>
            <w:pPr>
              <w:jc w:val="center"/>
            </w:pPr>
            <w:r>
              <w:rPr>
                <w:rFonts w:hint="eastAsia"/>
              </w:rPr>
              <w:t>3.5.2</w:t>
            </w:r>
          </w:p>
        </w:tc>
        <w:tc>
          <w:tcPr>
            <w:tcW w:w="2150" w:type="dxa"/>
            <w:vAlign w:val="center"/>
          </w:tcPr>
          <w:p>
            <w:r>
              <w:rPr>
                <w:rFonts w:hint="eastAsia"/>
              </w:rPr>
              <w:t>近年财务状况的年份要求</w:t>
            </w:r>
          </w:p>
        </w:tc>
        <w:tc>
          <w:tcPr>
            <w:tcW w:w="6300" w:type="dxa"/>
            <w:vAlign w:val="center"/>
          </w:tcPr>
          <w:p>
            <w:pPr>
              <w:spacing w:line="288" w:lineRule="auto"/>
            </w:pPr>
            <w:r>
              <w:rPr>
                <w:rFonts w:hint="eastAsia"/>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910" w:type="dxa"/>
            <w:vAlign w:val="center"/>
          </w:tcPr>
          <w:p>
            <w:pPr>
              <w:jc w:val="center"/>
            </w:pPr>
            <w:r>
              <w:rPr>
                <w:rFonts w:hint="eastAsia"/>
              </w:rPr>
              <w:t>3.5.3</w:t>
            </w:r>
          </w:p>
        </w:tc>
        <w:tc>
          <w:tcPr>
            <w:tcW w:w="2150" w:type="dxa"/>
            <w:vAlign w:val="center"/>
          </w:tcPr>
          <w:p>
            <w:r>
              <w:rPr>
                <w:rFonts w:hint="eastAsia"/>
              </w:rPr>
              <w:t>近年施工的建筑工程或市政公用工程的年份要求</w:t>
            </w:r>
          </w:p>
        </w:tc>
        <w:tc>
          <w:tcPr>
            <w:tcW w:w="6300" w:type="dxa"/>
            <w:vAlign w:val="center"/>
          </w:tcPr>
          <w:p>
            <w:pPr>
              <w:spacing w:line="288" w:lineRule="auto"/>
            </w:pPr>
            <w:r>
              <w:rPr>
                <w:rFonts w:hint="eastAsia"/>
              </w:rPr>
              <w:t>3年。2017年5月1日至今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910" w:type="dxa"/>
            <w:vAlign w:val="center"/>
          </w:tcPr>
          <w:p>
            <w:pPr>
              <w:jc w:val="center"/>
            </w:pPr>
            <w:r>
              <w:rPr>
                <w:rFonts w:hint="eastAsia"/>
              </w:rPr>
              <w:t>3.5.5</w:t>
            </w:r>
          </w:p>
        </w:tc>
        <w:tc>
          <w:tcPr>
            <w:tcW w:w="2150" w:type="dxa"/>
            <w:vAlign w:val="center"/>
          </w:tcPr>
          <w:p>
            <w:r>
              <w:rPr>
                <w:rFonts w:hint="eastAsia"/>
              </w:rPr>
              <w:t>近年发生的诉讼及仲裁情况的年份要求</w:t>
            </w:r>
          </w:p>
        </w:tc>
        <w:tc>
          <w:tcPr>
            <w:tcW w:w="6300" w:type="dxa"/>
            <w:vAlign w:val="center"/>
          </w:tcPr>
          <w:p>
            <w:pPr>
              <w:spacing w:line="288" w:lineRule="auto"/>
            </w:pPr>
            <w:r>
              <w:rPr>
                <w:rFonts w:hint="eastAsia"/>
              </w:rPr>
              <w:t>3年。指 2017年 1月 1 日起至今。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910" w:type="dxa"/>
            <w:vAlign w:val="center"/>
          </w:tcPr>
          <w:p>
            <w:pPr>
              <w:jc w:val="center"/>
            </w:pPr>
            <w:r>
              <w:rPr>
                <w:rFonts w:hint="eastAsia"/>
              </w:rPr>
              <w:t>3.6</w:t>
            </w:r>
          </w:p>
        </w:tc>
        <w:tc>
          <w:tcPr>
            <w:tcW w:w="2150" w:type="dxa"/>
            <w:vAlign w:val="center"/>
          </w:tcPr>
          <w:p>
            <w:r>
              <w:rPr>
                <w:rFonts w:hint="eastAsia"/>
              </w:rPr>
              <w:t>是否允许递交备选投标方案</w:t>
            </w:r>
          </w:p>
        </w:tc>
        <w:tc>
          <w:tcPr>
            <w:tcW w:w="6300" w:type="dxa"/>
            <w:vAlign w:val="center"/>
          </w:tcPr>
          <w:p>
            <w:pPr>
              <w:spacing w:line="288" w:lineRule="auto"/>
            </w:pPr>
            <w:r>
              <w:rPr>
                <w:rFonts w:hint="eastAsia" w:hAnsi="宋体"/>
                <w:szCs w:val="21"/>
                <w:bdr w:val="single" w:color="auto" w:sz="4" w:space="0"/>
              </w:rPr>
              <w:t>√</w:t>
            </w:r>
            <w:r>
              <w:rPr>
                <w:rFonts w:hint="eastAsia"/>
              </w:rPr>
              <w:t>不允许</w:t>
            </w:r>
          </w:p>
          <w:p>
            <w:pPr>
              <w:spacing w:line="288" w:lineRule="auto"/>
            </w:pPr>
            <w:r>
              <w:rPr>
                <w:rFonts w:hint="eastAsia"/>
              </w:rPr>
              <w:t>□允许，备选投标方案的编制要求见附表七“备选投标方案编制要求”，评审和比较方法见第三章“评标办法”。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0" w:type="dxa"/>
            <w:vAlign w:val="center"/>
          </w:tcPr>
          <w:p>
            <w:pPr>
              <w:jc w:val="center"/>
            </w:pPr>
            <w:r>
              <w:rPr>
                <w:rFonts w:hint="eastAsia"/>
              </w:rPr>
              <w:t>3.7.3</w:t>
            </w:r>
          </w:p>
        </w:tc>
        <w:tc>
          <w:tcPr>
            <w:tcW w:w="2150" w:type="dxa"/>
            <w:vAlign w:val="center"/>
          </w:tcPr>
          <w:p>
            <w:r>
              <w:rPr>
                <w:rFonts w:hint="eastAsia"/>
              </w:rPr>
              <w:t>签字和（或）盖章要求</w:t>
            </w:r>
          </w:p>
        </w:tc>
        <w:tc>
          <w:tcPr>
            <w:tcW w:w="6300" w:type="dxa"/>
            <w:vAlign w:val="center"/>
          </w:tcPr>
          <w:p>
            <w:pPr>
              <w:spacing w:line="288" w:lineRule="auto"/>
              <w:rPr>
                <w:rFonts w:ascii="宋体" w:hAnsi="宋体" w:cs="宋体"/>
                <w:kern w:val="0"/>
                <w:szCs w:val="21"/>
              </w:rPr>
            </w:pPr>
            <w:r>
              <w:rPr>
                <w:rFonts w:hint="eastAsia" w:ascii="宋体" w:hAnsi="TimesNewRomanPSMT" w:cs="宋体"/>
                <w:kern w:val="0"/>
                <w:szCs w:val="21"/>
              </w:rPr>
              <w:t>投标文件格式要求盖章的</w:t>
            </w:r>
            <w:r>
              <w:rPr>
                <w:rFonts w:hint="eastAsia" w:ascii="宋体" w:hAnsi="宋体" w:cs="宋体"/>
                <w:kern w:val="0"/>
                <w:szCs w:val="21"/>
              </w:rPr>
              <w:t>；改动之处应加盖单位章或由投标人的法定代表人或其授权的代理人签字确认。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0" w:type="dxa"/>
            <w:vAlign w:val="center"/>
          </w:tcPr>
          <w:p>
            <w:pPr>
              <w:jc w:val="center"/>
            </w:pPr>
            <w:r>
              <w:rPr>
                <w:rFonts w:hint="eastAsia"/>
              </w:rPr>
              <w:t>3.7.4</w:t>
            </w:r>
          </w:p>
        </w:tc>
        <w:tc>
          <w:tcPr>
            <w:tcW w:w="2150" w:type="dxa"/>
            <w:vAlign w:val="center"/>
          </w:tcPr>
          <w:p>
            <w:r>
              <w:rPr>
                <w:rFonts w:hint="eastAsia"/>
              </w:rPr>
              <w:t>投标文件副本份数</w:t>
            </w:r>
          </w:p>
        </w:tc>
        <w:tc>
          <w:tcPr>
            <w:tcW w:w="6300" w:type="dxa"/>
            <w:vAlign w:val="center"/>
          </w:tcPr>
          <w:p>
            <w:pPr>
              <w:spacing w:line="288" w:lineRule="auto"/>
            </w:pPr>
            <w:r>
              <w:rPr>
                <w:rFonts w:hint="eastAsia"/>
                <w:u w:val="single"/>
              </w:rPr>
              <w:t xml:space="preserve"> 正本壹份，副本肆 </w:t>
            </w:r>
            <w:r>
              <w:rPr>
                <w:rFonts w:hint="eastAsia"/>
              </w:rPr>
              <w:t>份，电子版文件</w:t>
            </w:r>
            <w:r>
              <w:rPr>
                <w:rFonts w:hint="eastAsia"/>
                <w:u w:val="single"/>
              </w:rPr>
              <w:t xml:space="preserve"> 2 </w:t>
            </w:r>
            <w:r>
              <w:rPr>
                <w:rFonts w:hint="eastAsia"/>
              </w:rPr>
              <w:t>份（格式为PDF版(盖公章)，以电子光盘和U盘的形式提供）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5" w:hRule="atLeast"/>
        </w:trPr>
        <w:tc>
          <w:tcPr>
            <w:tcW w:w="910" w:type="dxa"/>
            <w:vAlign w:val="center"/>
          </w:tcPr>
          <w:p>
            <w:pPr>
              <w:jc w:val="center"/>
            </w:pPr>
            <w:r>
              <w:rPr>
                <w:rFonts w:hint="eastAsia"/>
              </w:rPr>
              <w:t>3.7.5</w:t>
            </w:r>
          </w:p>
        </w:tc>
        <w:tc>
          <w:tcPr>
            <w:tcW w:w="2150" w:type="dxa"/>
            <w:vAlign w:val="center"/>
          </w:tcPr>
          <w:p>
            <w:r>
              <w:rPr>
                <w:rFonts w:hint="eastAsia"/>
              </w:rPr>
              <w:t>装订要求</w:t>
            </w:r>
          </w:p>
        </w:tc>
        <w:tc>
          <w:tcPr>
            <w:tcW w:w="6300" w:type="dxa"/>
          </w:tcPr>
          <w:p>
            <w:pPr>
              <w:spacing w:line="288" w:lineRule="auto"/>
            </w:pPr>
            <w:r>
              <w:rPr>
                <w:rFonts w:hint="eastAsia"/>
              </w:rPr>
              <w:t>按照投标人须知第3.1.1项规定的投标文件组成内容，投标文件应按以下要求装订：</w:t>
            </w:r>
          </w:p>
          <w:p>
            <w:pPr>
              <w:spacing w:line="288" w:lineRule="auto"/>
            </w:pPr>
            <w:r>
              <w:rPr>
                <w:rFonts w:hint="eastAsia"/>
              </w:rPr>
              <w:t>□不分册装订</w:t>
            </w:r>
          </w:p>
          <w:p>
            <w:pPr>
              <w:spacing w:line="288" w:lineRule="auto"/>
            </w:pPr>
            <w:r>
              <w:rPr>
                <w:rFonts w:hint="eastAsia" w:hAnsi="宋体"/>
                <w:szCs w:val="21"/>
                <w:bdr w:val="single" w:color="auto" w:sz="4" w:space="0"/>
              </w:rPr>
              <w:t>√</w:t>
            </w:r>
            <w:r>
              <w:rPr>
                <w:rFonts w:hint="eastAsia"/>
              </w:rPr>
              <w:t>分册装订，共分</w:t>
            </w:r>
            <w:r>
              <w:rPr>
                <w:rFonts w:hint="eastAsia"/>
                <w:u w:val="single"/>
              </w:rPr>
              <w:t xml:space="preserve"> 5</w:t>
            </w:r>
            <w:r>
              <w:rPr>
                <w:rFonts w:hint="eastAsia"/>
              </w:rPr>
              <w:t>册，分别为：</w:t>
            </w:r>
          </w:p>
          <w:p>
            <w:pPr>
              <w:spacing w:line="288" w:lineRule="auto"/>
            </w:pPr>
            <w:r>
              <w:rPr>
                <w:rFonts w:hint="eastAsia"/>
              </w:rPr>
              <w:t>投标文件（正本1册，副本4册），分开装订</w:t>
            </w:r>
          </w:p>
          <w:p>
            <w:pPr>
              <w:spacing w:line="288" w:lineRule="auto"/>
              <w:rPr>
                <w:u w:val="single"/>
              </w:rPr>
            </w:pPr>
            <w:r>
              <w:rPr>
                <w:rFonts w:hint="eastAsia"/>
              </w:rPr>
              <w:t>每册采用A4规格</w:t>
            </w:r>
            <w:r>
              <w:rPr>
                <w:rFonts w:hint="eastAsia"/>
                <w:u w:val="single"/>
              </w:rPr>
              <w:t xml:space="preserve"> 胶装 </w:t>
            </w:r>
            <w:r>
              <w:rPr>
                <w:rFonts w:hint="eastAsia"/>
              </w:rPr>
              <w:t>方式装订，装订应牢固、不易拆散和换页，不得采用活页装订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trPr>
        <w:tc>
          <w:tcPr>
            <w:tcW w:w="910" w:type="dxa"/>
            <w:vAlign w:val="center"/>
          </w:tcPr>
          <w:p>
            <w:pPr>
              <w:jc w:val="center"/>
            </w:pPr>
            <w:r>
              <w:rPr>
                <w:rFonts w:hint="eastAsia"/>
              </w:rPr>
              <w:t>4.1.2</w:t>
            </w:r>
          </w:p>
        </w:tc>
        <w:tc>
          <w:tcPr>
            <w:tcW w:w="2150" w:type="dxa"/>
            <w:vAlign w:val="center"/>
          </w:tcPr>
          <w:p>
            <w:r>
              <w:rPr>
                <w:rFonts w:hint="eastAsia"/>
              </w:rPr>
              <w:t>封套上写明</w:t>
            </w:r>
          </w:p>
        </w:tc>
        <w:tc>
          <w:tcPr>
            <w:tcW w:w="6300" w:type="dxa"/>
            <w:vAlign w:val="center"/>
          </w:tcPr>
          <w:p>
            <w:pPr>
              <w:autoSpaceDE w:val="0"/>
              <w:autoSpaceDN w:val="0"/>
              <w:adjustRightInd w:val="0"/>
              <w:rPr>
                <w:rFonts w:ascii="宋体" w:hAnsi="TimesNewRomanPSMT" w:cs="宋体"/>
                <w:b/>
                <w:kern w:val="0"/>
                <w:szCs w:val="21"/>
              </w:rPr>
            </w:pPr>
            <w:r>
              <w:rPr>
                <w:rFonts w:hint="eastAsia" w:ascii="宋体" w:hAnsi="TimesNewRomanPSMT" w:cs="宋体"/>
                <w:b/>
                <w:kern w:val="0"/>
                <w:szCs w:val="21"/>
              </w:rPr>
              <w:t>投标文件封套上写明</w:t>
            </w:r>
          </w:p>
          <w:p>
            <w:pPr>
              <w:autoSpaceDE w:val="0"/>
              <w:autoSpaceDN w:val="0"/>
              <w:adjustRightInd w:val="0"/>
              <w:rPr>
                <w:rFonts w:ascii="宋体" w:hAnsi="TimesNewRomanPSMT" w:cs="宋体"/>
                <w:kern w:val="0"/>
                <w:szCs w:val="21"/>
                <w:u w:val="single"/>
              </w:rPr>
            </w:pPr>
            <w:r>
              <w:rPr>
                <w:rFonts w:hint="eastAsia" w:ascii="宋体" w:hAnsi="TimesNewRomanPSMT" w:cs="宋体"/>
                <w:kern w:val="0"/>
                <w:szCs w:val="21"/>
              </w:rPr>
              <w:t>招标人地址：</w:t>
            </w:r>
            <w:r>
              <w:rPr>
                <w:rFonts w:hint="eastAsia" w:ascii="宋体" w:hAnsi="宋体"/>
                <w:u w:val="single"/>
              </w:rPr>
              <w:t>三亚市凤凰路319号天涯区人民政府办公楼5号楼402室。</w:t>
            </w:r>
          </w:p>
          <w:p>
            <w:pPr>
              <w:autoSpaceDE w:val="0"/>
              <w:autoSpaceDN w:val="0"/>
              <w:adjustRightInd w:val="0"/>
              <w:rPr>
                <w:rFonts w:ascii="宋体" w:hAnsi="宋体"/>
                <w:u w:val="single"/>
              </w:rPr>
            </w:pPr>
            <w:r>
              <w:rPr>
                <w:rFonts w:hint="eastAsia" w:ascii="宋体" w:hAnsi="TimesNewRomanPSMT" w:cs="宋体"/>
                <w:kern w:val="0"/>
                <w:szCs w:val="21"/>
              </w:rPr>
              <w:t>招标人名称：</w:t>
            </w:r>
            <w:r>
              <w:rPr>
                <w:rFonts w:hint="eastAsia" w:ascii="宋体" w:hAnsi="宋体"/>
                <w:u w:val="single"/>
              </w:rPr>
              <w:t xml:space="preserve">三亚市天涯区农业农村局  </w:t>
            </w:r>
          </w:p>
          <w:p>
            <w:pPr>
              <w:autoSpaceDE w:val="0"/>
              <w:autoSpaceDN w:val="0"/>
              <w:adjustRightInd w:val="0"/>
              <w:rPr>
                <w:rFonts w:ascii="宋体" w:hAnsi="TimesNewRomanPSMT" w:cs="宋体"/>
                <w:kern w:val="0"/>
                <w:szCs w:val="21"/>
              </w:rPr>
            </w:pPr>
            <w:r>
              <w:rPr>
                <w:rFonts w:hint="eastAsia" w:ascii="宋体" w:hAnsi="TimesNewRomanPSMT" w:cs="宋体"/>
                <w:kern w:val="0"/>
                <w:szCs w:val="21"/>
              </w:rPr>
              <w:t>投标文件在</w:t>
            </w:r>
            <w:r>
              <w:rPr>
                <w:rFonts w:hint="eastAsia" w:ascii="宋体" w:hAnsi="TimesNewRomanPSMT" w:cs="宋体"/>
                <w:kern w:val="0"/>
                <w:szCs w:val="21"/>
                <w:u w:val="single"/>
              </w:rPr>
              <w:t xml:space="preserve">2020年 </w:t>
            </w:r>
            <w:r>
              <w:rPr>
                <w:rFonts w:ascii="宋体" w:hAnsi="TimesNewRomanPSMT" w:cs="宋体"/>
                <w:kern w:val="0"/>
                <w:szCs w:val="21"/>
                <w:u w:val="single"/>
              </w:rPr>
              <w:t>6</w:t>
            </w:r>
            <w:r>
              <w:rPr>
                <w:rFonts w:hint="eastAsia" w:ascii="宋体" w:hAnsi="TimesNewRomanPSMT" w:cs="宋体"/>
                <w:kern w:val="0"/>
                <w:szCs w:val="21"/>
                <w:u w:val="single"/>
              </w:rPr>
              <w:t xml:space="preserve"> 月 </w:t>
            </w:r>
            <w:r>
              <w:rPr>
                <w:rFonts w:ascii="宋体" w:hAnsi="TimesNewRomanPSMT" w:cs="宋体"/>
                <w:kern w:val="0"/>
                <w:szCs w:val="21"/>
                <w:u w:val="single"/>
              </w:rPr>
              <w:t>19</w:t>
            </w:r>
            <w:r>
              <w:rPr>
                <w:rFonts w:hint="eastAsia" w:ascii="宋体" w:hAnsi="TimesNewRomanPSMT" w:cs="宋体"/>
                <w:kern w:val="0"/>
                <w:szCs w:val="21"/>
                <w:u w:val="single"/>
              </w:rPr>
              <w:t xml:space="preserve"> 日 </w:t>
            </w:r>
            <w:r>
              <w:rPr>
                <w:rFonts w:ascii="宋体" w:hAnsi="TimesNewRomanPSMT" w:cs="宋体"/>
                <w:kern w:val="0"/>
                <w:szCs w:val="21"/>
                <w:u w:val="single"/>
              </w:rPr>
              <w:t>09</w:t>
            </w:r>
            <w:r>
              <w:rPr>
                <w:rFonts w:hint="eastAsia" w:ascii="宋体" w:hAnsi="TimesNewRomanPSMT" w:cs="宋体"/>
                <w:kern w:val="0"/>
                <w:szCs w:val="21"/>
                <w:u w:val="single"/>
              </w:rPr>
              <w:t xml:space="preserve"> 时 </w:t>
            </w:r>
            <w:r>
              <w:rPr>
                <w:rFonts w:ascii="宋体" w:hAnsi="TimesNewRomanPSMT" w:cs="宋体"/>
                <w:kern w:val="0"/>
                <w:szCs w:val="21"/>
                <w:u w:val="single"/>
              </w:rPr>
              <w:t>00</w:t>
            </w:r>
            <w:r>
              <w:rPr>
                <w:rFonts w:hint="eastAsia" w:ascii="宋体" w:hAnsi="TimesNewRomanPSMT" w:cs="宋体"/>
                <w:kern w:val="0"/>
                <w:szCs w:val="21"/>
                <w:u w:val="single"/>
              </w:rPr>
              <w:t xml:space="preserve"> 分</w:t>
            </w:r>
            <w:r>
              <w:rPr>
                <w:rFonts w:hint="eastAsia" w:ascii="宋体" w:hAnsi="TimesNewRomanPSMT" w:cs="宋体"/>
                <w:kern w:val="0"/>
                <w:szCs w:val="21"/>
              </w:rPr>
              <w:t>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910" w:type="dxa"/>
            <w:vAlign w:val="center"/>
          </w:tcPr>
          <w:p>
            <w:pPr>
              <w:jc w:val="center"/>
            </w:pPr>
            <w:r>
              <w:rPr>
                <w:rFonts w:hint="eastAsia"/>
              </w:rPr>
              <w:t>4.2.2</w:t>
            </w:r>
          </w:p>
        </w:tc>
        <w:tc>
          <w:tcPr>
            <w:tcW w:w="2150" w:type="dxa"/>
            <w:vAlign w:val="center"/>
          </w:tcPr>
          <w:p>
            <w:r>
              <w:rPr>
                <w:rFonts w:hint="eastAsia"/>
              </w:rPr>
              <w:t>递交投标文件地点</w:t>
            </w:r>
          </w:p>
        </w:tc>
        <w:tc>
          <w:tcPr>
            <w:tcW w:w="6300" w:type="dxa"/>
            <w:vAlign w:val="center"/>
          </w:tcPr>
          <w:p>
            <w:pPr>
              <w:spacing w:before="156" w:beforeLines="50" w:line="288" w:lineRule="auto"/>
              <w:rPr>
                <w:rFonts w:ascii="宋体" w:hAnsi="宋体"/>
              </w:rPr>
            </w:pPr>
            <w:r>
              <w:rPr>
                <w:rFonts w:hint="eastAsia" w:ascii="宋体" w:hAnsi="宋体"/>
              </w:rPr>
              <w:t>三亚市公共资源交易中心（三亚市吉阳区新风街259号）三亚开标室</w:t>
            </w:r>
            <w:r>
              <w:rPr>
                <w:rFonts w:hint="eastAsia" w:ascii="宋体" w:hAnsi="宋体"/>
                <w:u w:val="single"/>
              </w:rPr>
              <w:t xml:space="preserve">  </w:t>
            </w:r>
            <w:r>
              <w:rPr>
                <w:rFonts w:ascii="宋体" w:hAnsi="宋体"/>
                <w:u w:val="single"/>
              </w:rPr>
              <w:t>4</w:t>
            </w:r>
            <w:r>
              <w:rPr>
                <w:rFonts w:hint="eastAsia" w:ascii="宋体" w:hAnsi="宋体"/>
                <w:u w:val="single"/>
              </w:rPr>
              <w:t xml:space="preserve"> </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910" w:type="dxa"/>
            <w:vAlign w:val="center"/>
          </w:tcPr>
          <w:p>
            <w:pPr>
              <w:jc w:val="center"/>
            </w:pPr>
            <w:r>
              <w:rPr>
                <w:rFonts w:hint="eastAsia"/>
              </w:rPr>
              <w:t>4.2.3</w:t>
            </w:r>
          </w:p>
        </w:tc>
        <w:tc>
          <w:tcPr>
            <w:tcW w:w="2150" w:type="dxa"/>
            <w:vAlign w:val="center"/>
          </w:tcPr>
          <w:p>
            <w:r>
              <w:rPr>
                <w:rFonts w:hint="eastAsia"/>
              </w:rPr>
              <w:t>是否退还投标文件</w:t>
            </w:r>
          </w:p>
        </w:tc>
        <w:tc>
          <w:tcPr>
            <w:tcW w:w="6300" w:type="dxa"/>
            <w:vAlign w:val="center"/>
          </w:tcPr>
          <w:p>
            <w:pPr>
              <w:spacing w:line="288" w:lineRule="auto"/>
            </w:pPr>
            <w:r>
              <w:rPr>
                <w:rFonts w:hint="eastAsia" w:hAnsi="宋体"/>
                <w:szCs w:val="21"/>
                <w:bdr w:val="single" w:color="auto" w:sz="4" w:space="0"/>
              </w:rPr>
              <w:t>√</w:t>
            </w:r>
            <w:r>
              <w:rPr>
                <w:rFonts w:hint="eastAsia"/>
              </w:rPr>
              <w:t>否</w:t>
            </w:r>
          </w:p>
          <w:p>
            <w:pPr>
              <w:spacing w:line="288" w:lineRule="auto"/>
              <w:rPr>
                <w:u w:val="single"/>
              </w:rPr>
            </w:pPr>
            <w:r>
              <w:rPr>
                <w:rFonts w:hint="eastAsia"/>
              </w:rPr>
              <w:t>□是，退还安排：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910" w:type="dxa"/>
            <w:vAlign w:val="center"/>
          </w:tcPr>
          <w:p>
            <w:pPr>
              <w:jc w:val="center"/>
            </w:pPr>
            <w:r>
              <w:rPr>
                <w:rFonts w:hint="eastAsia"/>
              </w:rPr>
              <w:t>5.1</w:t>
            </w:r>
          </w:p>
        </w:tc>
        <w:tc>
          <w:tcPr>
            <w:tcW w:w="2150" w:type="dxa"/>
            <w:vAlign w:val="center"/>
          </w:tcPr>
          <w:p>
            <w:r>
              <w:rPr>
                <w:rFonts w:hint="eastAsia"/>
              </w:rPr>
              <w:t>开标时间和地点</w:t>
            </w:r>
          </w:p>
        </w:tc>
        <w:tc>
          <w:tcPr>
            <w:tcW w:w="6300" w:type="dxa"/>
            <w:vAlign w:val="center"/>
          </w:tcPr>
          <w:p>
            <w:pPr>
              <w:spacing w:line="288" w:lineRule="auto"/>
            </w:pPr>
            <w:r>
              <w:rPr>
                <w:rFonts w:hint="eastAsia"/>
              </w:rPr>
              <w:t>开标时间：</w:t>
            </w:r>
            <w:r>
              <w:rPr>
                <w:rFonts w:hint="eastAsia" w:ascii="宋体" w:hAnsi="TimesNewRomanPSMT" w:cs="宋体"/>
                <w:kern w:val="0"/>
                <w:szCs w:val="21"/>
                <w:u w:val="single"/>
              </w:rPr>
              <w:t xml:space="preserve">2020年 </w:t>
            </w:r>
            <w:r>
              <w:rPr>
                <w:rFonts w:ascii="宋体" w:hAnsi="TimesNewRomanPSMT" w:cs="宋体"/>
                <w:kern w:val="0"/>
                <w:szCs w:val="21"/>
                <w:u w:val="single"/>
              </w:rPr>
              <w:t>6</w:t>
            </w:r>
            <w:r>
              <w:rPr>
                <w:rFonts w:hint="eastAsia" w:ascii="宋体" w:hAnsi="TimesNewRomanPSMT" w:cs="宋体"/>
                <w:kern w:val="0"/>
                <w:szCs w:val="21"/>
                <w:u w:val="single"/>
              </w:rPr>
              <w:t xml:space="preserve"> 月 </w:t>
            </w:r>
            <w:r>
              <w:rPr>
                <w:rFonts w:ascii="宋体" w:hAnsi="TimesNewRomanPSMT" w:cs="宋体"/>
                <w:kern w:val="0"/>
                <w:szCs w:val="21"/>
                <w:u w:val="single"/>
              </w:rPr>
              <w:t>19</w:t>
            </w:r>
            <w:r>
              <w:rPr>
                <w:rFonts w:hint="eastAsia" w:ascii="宋体" w:hAnsi="TimesNewRomanPSMT" w:cs="宋体"/>
                <w:kern w:val="0"/>
                <w:szCs w:val="21"/>
                <w:u w:val="single"/>
              </w:rPr>
              <w:t xml:space="preserve"> 日 </w:t>
            </w:r>
            <w:r>
              <w:rPr>
                <w:rFonts w:ascii="宋体" w:hAnsi="TimesNewRomanPSMT" w:cs="宋体"/>
                <w:kern w:val="0"/>
                <w:szCs w:val="21"/>
                <w:u w:val="single"/>
              </w:rPr>
              <w:t>09</w:t>
            </w:r>
            <w:r>
              <w:rPr>
                <w:rFonts w:hint="eastAsia" w:ascii="宋体" w:hAnsi="TimesNewRomanPSMT" w:cs="宋体"/>
                <w:kern w:val="0"/>
                <w:szCs w:val="21"/>
                <w:u w:val="single"/>
              </w:rPr>
              <w:t xml:space="preserve"> 时 </w:t>
            </w:r>
            <w:r>
              <w:rPr>
                <w:rFonts w:ascii="宋体" w:hAnsi="TimesNewRomanPSMT" w:cs="宋体"/>
                <w:kern w:val="0"/>
                <w:szCs w:val="21"/>
                <w:u w:val="single"/>
              </w:rPr>
              <w:t>00</w:t>
            </w:r>
            <w:r>
              <w:rPr>
                <w:rFonts w:hint="eastAsia" w:ascii="宋体" w:hAnsi="TimesNewRomanPSMT" w:cs="宋体"/>
                <w:kern w:val="0"/>
                <w:szCs w:val="21"/>
                <w:u w:val="single"/>
              </w:rPr>
              <w:t xml:space="preserve"> 分</w:t>
            </w:r>
          </w:p>
          <w:p>
            <w:pPr>
              <w:spacing w:line="288" w:lineRule="auto"/>
            </w:pPr>
            <w:r>
              <w:rPr>
                <w:rFonts w:hint="eastAsia"/>
              </w:rPr>
              <w:t>开标地点：三亚市公共资源交易中心（三亚市吉阳区新风街259号）三亚开标室</w:t>
            </w:r>
            <w:r>
              <w:rPr>
                <w:u w:val="single"/>
              </w:rPr>
              <w:t xml:space="preserve">  4  </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910" w:type="dxa"/>
            <w:vAlign w:val="center"/>
          </w:tcPr>
          <w:p>
            <w:pPr>
              <w:jc w:val="center"/>
            </w:pPr>
            <w:r>
              <w:rPr>
                <w:rFonts w:hint="eastAsia"/>
              </w:rPr>
              <w:t>5.2</w:t>
            </w:r>
          </w:p>
        </w:tc>
        <w:tc>
          <w:tcPr>
            <w:tcW w:w="2150" w:type="dxa"/>
            <w:vAlign w:val="center"/>
          </w:tcPr>
          <w:p>
            <w:r>
              <w:rPr>
                <w:rFonts w:hint="eastAsia"/>
              </w:rPr>
              <w:t>开标程序</w:t>
            </w:r>
          </w:p>
        </w:tc>
        <w:tc>
          <w:tcPr>
            <w:tcW w:w="6300" w:type="dxa"/>
            <w:vAlign w:val="center"/>
          </w:tcPr>
          <w:p>
            <w:pPr>
              <w:spacing w:line="288" w:lineRule="auto"/>
            </w:pPr>
            <w:r>
              <w:rPr>
                <w:rFonts w:hint="eastAsia"/>
              </w:rPr>
              <w:t>（4）密封情况检查：投标人推荐的代表检查</w:t>
            </w:r>
          </w:p>
          <w:p>
            <w:pPr>
              <w:spacing w:line="288" w:lineRule="auto"/>
            </w:pPr>
            <w:r>
              <w:rPr>
                <w:rFonts w:hint="eastAsia"/>
              </w:rPr>
              <w:t>（5）开标顺序：随机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910" w:type="dxa"/>
            <w:vAlign w:val="center"/>
          </w:tcPr>
          <w:p>
            <w:pPr>
              <w:jc w:val="center"/>
            </w:pPr>
            <w:r>
              <w:rPr>
                <w:rFonts w:hint="eastAsia"/>
              </w:rPr>
              <w:t>6.1.1</w:t>
            </w:r>
          </w:p>
        </w:tc>
        <w:tc>
          <w:tcPr>
            <w:tcW w:w="2150" w:type="dxa"/>
            <w:vAlign w:val="center"/>
          </w:tcPr>
          <w:p>
            <w:r>
              <w:rPr>
                <w:rFonts w:hint="eastAsia"/>
              </w:rPr>
              <w:t>评标委员会的组建</w:t>
            </w:r>
          </w:p>
        </w:tc>
        <w:tc>
          <w:tcPr>
            <w:tcW w:w="6300" w:type="dxa"/>
            <w:vAlign w:val="center"/>
          </w:tcPr>
          <w:p>
            <w:pPr>
              <w:spacing w:line="288" w:lineRule="auto"/>
            </w:pPr>
            <w:r>
              <w:rPr>
                <w:rFonts w:hint="eastAsia"/>
              </w:rPr>
              <w:t>评标委员会构成：</w:t>
            </w:r>
            <w:r>
              <w:rPr>
                <w:rFonts w:hint="eastAsia"/>
                <w:u w:val="single"/>
              </w:rPr>
              <w:t xml:space="preserve"> 5  </w:t>
            </w:r>
            <w:r>
              <w:rPr>
                <w:rFonts w:hint="eastAsia"/>
              </w:rPr>
              <w:t>人，其中招标人代表</w:t>
            </w:r>
            <w:r>
              <w:rPr>
                <w:rFonts w:hint="eastAsia"/>
                <w:u w:val="single"/>
              </w:rPr>
              <w:t xml:space="preserve">  0  </w:t>
            </w:r>
            <w:r>
              <w:rPr>
                <w:rFonts w:hint="eastAsia"/>
              </w:rPr>
              <w:t>人（应当具备评标专家相应的或者类似的条件），专家</w:t>
            </w:r>
            <w:r>
              <w:rPr>
                <w:rFonts w:hint="eastAsia"/>
                <w:u w:val="single"/>
              </w:rPr>
              <w:t xml:space="preserve"> 5 </w:t>
            </w:r>
            <w:r>
              <w:rPr>
                <w:rFonts w:hint="eastAsia"/>
              </w:rPr>
              <w:t>人。</w:t>
            </w:r>
          </w:p>
          <w:p>
            <w:pPr>
              <w:spacing w:line="288" w:lineRule="auto"/>
            </w:pPr>
            <w:r>
              <w:rPr>
                <w:rFonts w:hint="eastAsia"/>
              </w:rPr>
              <w:t>评标专家确定方式：</w:t>
            </w:r>
            <w:r>
              <w:rPr>
                <w:rFonts w:hint="eastAsia"/>
                <w:u w:val="single"/>
              </w:rPr>
              <w:t xml:space="preserve">海南省建设工程综合评标专家库中随机抽取三亚市区域内专家 </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910" w:type="dxa"/>
            <w:vAlign w:val="center"/>
          </w:tcPr>
          <w:p>
            <w:pPr>
              <w:jc w:val="center"/>
            </w:pPr>
            <w:r>
              <w:rPr>
                <w:rFonts w:hint="eastAsia"/>
              </w:rPr>
              <w:t>7.1</w:t>
            </w:r>
          </w:p>
        </w:tc>
        <w:tc>
          <w:tcPr>
            <w:tcW w:w="2150" w:type="dxa"/>
            <w:vAlign w:val="center"/>
          </w:tcPr>
          <w:p>
            <w:r>
              <w:rPr>
                <w:rFonts w:hint="eastAsia"/>
              </w:rPr>
              <w:t>是否授权评标委员会确定中标人</w:t>
            </w:r>
          </w:p>
        </w:tc>
        <w:tc>
          <w:tcPr>
            <w:tcW w:w="6300" w:type="dxa"/>
            <w:vAlign w:val="center"/>
          </w:tcPr>
          <w:p>
            <w:pPr>
              <w:spacing w:line="288" w:lineRule="auto"/>
            </w:pPr>
            <w:r>
              <w:rPr>
                <w:rFonts w:hint="eastAsia"/>
              </w:rPr>
              <w:t>□是</w:t>
            </w:r>
          </w:p>
          <w:p>
            <w:pPr>
              <w:spacing w:line="288" w:lineRule="auto"/>
            </w:pPr>
            <w:r>
              <w:rPr>
                <w:rFonts w:hint="eastAsia" w:hAnsi="宋体"/>
                <w:szCs w:val="21"/>
                <w:bdr w:val="single" w:color="auto" w:sz="4" w:space="0"/>
              </w:rPr>
              <w:t>√</w:t>
            </w:r>
            <w:r>
              <w:rPr>
                <w:rFonts w:hint="eastAsia"/>
              </w:rPr>
              <w:t>否，推荐的中标候选人数：</w:t>
            </w:r>
            <w:r>
              <w:rPr>
                <w:rFonts w:hint="eastAsia"/>
                <w:u w:val="single"/>
              </w:rPr>
              <w:t xml:space="preserve">    3名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10" w:type="dxa"/>
            <w:vAlign w:val="center"/>
          </w:tcPr>
          <w:p>
            <w:pPr>
              <w:jc w:val="center"/>
            </w:pPr>
            <w:r>
              <w:rPr>
                <w:rFonts w:hint="eastAsia"/>
              </w:rPr>
              <w:t>7.3.1</w:t>
            </w:r>
          </w:p>
        </w:tc>
        <w:tc>
          <w:tcPr>
            <w:tcW w:w="2150" w:type="dxa"/>
            <w:vAlign w:val="center"/>
          </w:tcPr>
          <w:p>
            <w:r>
              <w:rPr>
                <w:rFonts w:hint="eastAsia"/>
              </w:rPr>
              <w:t>履约担保</w:t>
            </w:r>
          </w:p>
        </w:tc>
        <w:tc>
          <w:tcPr>
            <w:tcW w:w="6300" w:type="dxa"/>
            <w:vAlign w:val="center"/>
          </w:tcPr>
          <w:p>
            <w:pPr>
              <w:spacing w:line="288" w:lineRule="auto"/>
            </w:pPr>
            <w:r>
              <w:rPr>
                <w:rFonts w:hint="eastAsia"/>
              </w:rPr>
              <w:t>履约担保的形式：履约保函、建设工程保证保险</w:t>
            </w:r>
          </w:p>
          <w:p>
            <w:pPr>
              <w:spacing w:line="288" w:lineRule="auto"/>
            </w:pPr>
            <w:r>
              <w:rPr>
                <w:rFonts w:hint="eastAsia"/>
              </w:rPr>
              <w:t>履约担保的金额：合同价的 10%履约保函或建设工程保证保险</w:t>
            </w:r>
          </w:p>
          <w:p>
            <w:pPr>
              <w:spacing w:line="288" w:lineRule="auto"/>
            </w:pPr>
            <w:r>
              <w:rPr>
                <w:rFonts w:hint="eastAsia"/>
              </w:rPr>
              <w:t>（1）履约担保采用银行保函形式时，出具合同履约保函的银行</w:t>
            </w:r>
          </w:p>
          <w:p>
            <w:pPr>
              <w:spacing w:line="288" w:lineRule="auto"/>
            </w:pPr>
            <w:r>
              <w:rPr>
                <w:rFonts w:hint="eastAsia"/>
              </w:rPr>
              <w:t xml:space="preserve">级别为：国有商业银行或股份制商业银行的地市级支行或以上级别的银行。（2）履约担保采用建设工程保证保险形式时，应符合海南省住房和城乡建设厅、中国保险监督管理委员会海南监管局关于推行建设工程保证保险的通知（琼建管〔2017〕229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atLeast"/>
        </w:trPr>
        <w:tc>
          <w:tcPr>
            <w:tcW w:w="910" w:type="dxa"/>
            <w:vAlign w:val="center"/>
          </w:tcPr>
          <w:p>
            <w:pPr>
              <w:jc w:val="center"/>
            </w:pPr>
            <w:r>
              <w:rPr>
                <w:rFonts w:hint="eastAsia" w:ascii="宋体" w:hAnsi="宋体"/>
                <w:szCs w:val="21"/>
              </w:rPr>
              <w:t>其他</w:t>
            </w:r>
          </w:p>
        </w:tc>
        <w:tc>
          <w:tcPr>
            <w:tcW w:w="2150" w:type="dxa"/>
            <w:vAlign w:val="center"/>
          </w:tcPr>
          <w:p>
            <w:r>
              <w:rPr>
                <w:rFonts w:hint="eastAsia" w:ascii="宋体" w:hAnsi="宋体"/>
                <w:szCs w:val="21"/>
              </w:rPr>
              <w:t>材料要求</w:t>
            </w:r>
          </w:p>
        </w:tc>
        <w:tc>
          <w:tcPr>
            <w:tcW w:w="6300" w:type="dxa"/>
            <w:vAlign w:val="center"/>
          </w:tcPr>
          <w:p>
            <w:pPr>
              <w:spacing w:line="360" w:lineRule="exact"/>
              <w:rPr>
                <w:rFonts w:ascii="宋体" w:cs="宋体"/>
                <w:b/>
                <w:color w:val="000000"/>
                <w:sz w:val="23"/>
                <w:szCs w:val="23"/>
              </w:rPr>
            </w:pPr>
            <w:r>
              <w:rPr>
                <w:rFonts w:hint="eastAsia"/>
              </w:rPr>
              <w:t>投标人代表参加开标会须携带以下证件原件以供审查（不提供者视为投标人主动放弃投标资格）：（1）营业执照；（2）资质证书；（依据住房城乡建设部办公厅关于规范使用建筑业企业资质证书的通知（建办市函[2016]462号）文件要求，未能提供原件进行核查的投标人应提供可通过扫描二维码查询资质情况的证书复印件。）（3）项目负责人（项目经理）注册证书或职称证。以上原件均随纸质版投标文件正本一份、副本四份及电子投标文件一起在开标前提交，由评标专家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60" w:type="dxa"/>
            <w:gridSpan w:val="3"/>
            <w:vAlign w:val="center"/>
          </w:tcPr>
          <w:p>
            <w:pPr>
              <w:spacing w:line="312" w:lineRule="auto"/>
              <w:rPr>
                <w:rFonts w:ascii="黑体" w:eastAsia="黑体"/>
                <w:sz w:val="24"/>
              </w:rPr>
            </w:pPr>
            <w:r>
              <w:rPr>
                <w:rFonts w:hint="eastAsia" w:ascii="黑体" w:eastAsia="黑体"/>
                <w:sz w:val="24"/>
              </w:rPr>
              <w:t>10.  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60" w:type="dxa"/>
            <w:gridSpan w:val="3"/>
            <w:vAlign w:val="center"/>
          </w:tcPr>
          <w:p>
            <w:pPr>
              <w:spacing w:line="312" w:lineRule="auto"/>
            </w:pPr>
            <w:r>
              <w:rPr>
                <w:rFonts w:hint="eastAsia"/>
              </w:rPr>
              <w:t>10.1 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0" w:type="dxa"/>
            <w:vAlign w:val="center"/>
          </w:tcPr>
          <w:p>
            <w:pPr>
              <w:spacing w:line="312" w:lineRule="auto"/>
              <w:jc w:val="center"/>
            </w:pPr>
            <w:r>
              <w:rPr>
                <w:rFonts w:hint="eastAsia"/>
              </w:rPr>
              <w:t>10.1.1</w:t>
            </w:r>
          </w:p>
        </w:tc>
        <w:tc>
          <w:tcPr>
            <w:tcW w:w="2150" w:type="dxa"/>
            <w:vAlign w:val="center"/>
          </w:tcPr>
          <w:p>
            <w:pPr>
              <w:spacing w:line="312" w:lineRule="auto"/>
            </w:pPr>
            <w:r>
              <w:rPr>
                <w:rFonts w:hint="eastAsia"/>
              </w:rPr>
              <w:t>类似项目</w:t>
            </w:r>
          </w:p>
        </w:tc>
        <w:tc>
          <w:tcPr>
            <w:tcW w:w="6300" w:type="dxa"/>
            <w:vAlign w:val="center"/>
          </w:tcPr>
          <w:p>
            <w:pPr>
              <w:spacing w:line="312" w:lineRule="auto"/>
            </w:pPr>
            <w:r>
              <w:rPr>
                <w:rFonts w:hint="eastAsia"/>
              </w:rPr>
              <w:t>类似项目是指：</w:t>
            </w:r>
            <w:r>
              <w:rPr>
                <w:rFonts w:hint="eastAsia" w:ascii="宋体" w:hAnsi="宋体"/>
                <w:szCs w:val="21"/>
              </w:rPr>
              <w:t>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0" w:type="dxa"/>
          </w:tcPr>
          <w:p>
            <w:pPr>
              <w:spacing w:line="312" w:lineRule="auto"/>
              <w:jc w:val="center"/>
            </w:pPr>
            <w:r>
              <w:rPr>
                <w:rFonts w:hint="eastAsia"/>
              </w:rPr>
              <w:t>10.1.2</w:t>
            </w:r>
          </w:p>
        </w:tc>
        <w:tc>
          <w:tcPr>
            <w:tcW w:w="2150" w:type="dxa"/>
            <w:vAlign w:val="center"/>
          </w:tcPr>
          <w:p>
            <w:pPr>
              <w:spacing w:line="312" w:lineRule="auto"/>
            </w:pPr>
            <w:r>
              <w:rPr>
                <w:rFonts w:hint="eastAsia"/>
              </w:rPr>
              <w:t>不良行为记录</w:t>
            </w:r>
          </w:p>
        </w:tc>
        <w:tc>
          <w:tcPr>
            <w:tcW w:w="6300" w:type="dxa"/>
            <w:vAlign w:val="center"/>
          </w:tcPr>
          <w:p>
            <w:pPr>
              <w:autoSpaceDE w:val="0"/>
              <w:autoSpaceDN w:val="0"/>
              <w:adjustRightInd w:val="0"/>
              <w:rPr>
                <w:rFonts w:ascii="宋体" w:hAnsi="宋体" w:cs="宋体"/>
                <w:kern w:val="0"/>
                <w:szCs w:val="21"/>
              </w:rPr>
            </w:pPr>
            <w:r>
              <w:rPr>
                <w:rFonts w:hint="eastAsia"/>
              </w:rPr>
              <w:t>不良行为记录是指：</w:t>
            </w:r>
            <w:r>
              <w:rPr>
                <w:rFonts w:hint="eastAsia" w:ascii="宋体" w:hAnsi="宋体" w:cs="宋体"/>
                <w:kern w:val="0"/>
                <w:szCs w:val="21"/>
              </w:rPr>
              <w:t>（1）投标资格被取消、暂停；（2）处于被责令停业、财产被接管、冻结、破产状态；（3）有骗取中标行为或严重违约事件；（4）拖欠农民工工资事件。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0" w:type="dxa"/>
            <w:vAlign w:val="center"/>
          </w:tcPr>
          <w:p>
            <w:pPr>
              <w:spacing w:line="312" w:lineRule="auto"/>
              <w:jc w:val="center"/>
            </w:pPr>
            <w:r>
              <w:rPr>
                <w:rFonts w:hint="eastAsia"/>
              </w:rPr>
              <w:t>…</w:t>
            </w:r>
          </w:p>
        </w:tc>
        <w:tc>
          <w:tcPr>
            <w:tcW w:w="2150" w:type="dxa"/>
            <w:vAlign w:val="center"/>
          </w:tcPr>
          <w:p>
            <w:pPr>
              <w:spacing w:line="312" w:lineRule="auto"/>
            </w:pPr>
            <w:r>
              <w:rPr>
                <w:rFonts w:hint="eastAsia"/>
              </w:rPr>
              <w:t>…</w:t>
            </w:r>
          </w:p>
        </w:tc>
        <w:tc>
          <w:tcPr>
            <w:tcW w:w="6300" w:type="dxa"/>
            <w:vAlign w:val="center"/>
          </w:tcPr>
          <w:p>
            <w:pPr>
              <w:spacing w:line="312"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60" w:type="dxa"/>
            <w:gridSpan w:val="3"/>
            <w:vAlign w:val="center"/>
          </w:tcPr>
          <w:p>
            <w:pPr>
              <w:spacing w:line="312" w:lineRule="auto"/>
            </w:pPr>
            <w:r>
              <w:rPr>
                <w:rFonts w:hint="eastAsia"/>
              </w:rPr>
              <w:t>10.2  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10" w:type="dxa"/>
            <w:vAlign w:val="center"/>
          </w:tcPr>
          <w:p>
            <w:pPr>
              <w:spacing w:line="312" w:lineRule="auto"/>
              <w:jc w:val="center"/>
            </w:pPr>
          </w:p>
        </w:tc>
        <w:tc>
          <w:tcPr>
            <w:tcW w:w="2150" w:type="dxa"/>
            <w:vAlign w:val="center"/>
          </w:tcPr>
          <w:p>
            <w:pPr>
              <w:spacing w:line="312" w:lineRule="auto"/>
            </w:pPr>
            <w:r>
              <w:rPr>
                <w:rFonts w:hint="eastAsia"/>
              </w:rPr>
              <w:t>招标控制价</w:t>
            </w:r>
          </w:p>
        </w:tc>
        <w:tc>
          <w:tcPr>
            <w:tcW w:w="6300" w:type="dxa"/>
            <w:vAlign w:val="center"/>
          </w:tcPr>
          <w:p>
            <w:pPr>
              <w:spacing w:line="312" w:lineRule="auto"/>
              <w:rPr>
                <w:bCs/>
              </w:rPr>
            </w:pPr>
            <w:r>
              <w:rPr>
                <w:rFonts w:hint="eastAsia"/>
                <w:bCs/>
              </w:rPr>
              <w:t>□不设招标控制价</w:t>
            </w:r>
          </w:p>
          <w:p>
            <w:pPr>
              <w:spacing w:line="600" w:lineRule="auto"/>
              <w:rPr>
                <w:b/>
                <w:bCs/>
              </w:rPr>
            </w:pPr>
            <w:r>
              <w:rPr>
                <w:rFonts w:hint="eastAsia" w:hAnsi="宋体"/>
                <w:szCs w:val="21"/>
                <w:bdr w:val="single" w:color="auto" w:sz="4" w:space="0"/>
              </w:rPr>
              <w:t>√</w:t>
            </w:r>
            <w:r>
              <w:rPr>
                <w:rFonts w:hint="eastAsia"/>
                <w:bCs/>
              </w:rPr>
              <w:t>设招标控制价:招标控制价为：</w:t>
            </w:r>
            <w:r>
              <w:rPr>
                <w:rFonts w:hint="eastAsia"/>
                <w:bCs/>
                <w:u w:val="single"/>
              </w:rPr>
              <w:t>962200.00</w:t>
            </w:r>
            <w:r>
              <w:rPr>
                <w:rFonts w:hint="eastAsia"/>
                <w:bCs/>
              </w:rPr>
              <w:t>元</w:t>
            </w:r>
            <w:r>
              <w:rPr>
                <w:rFonts w:hint="eastAsia"/>
              </w:rPr>
              <w:t>（含）为最高报价，投标报价超出招标控制价和低于成本价的为无效报价，不计入计算因素，按废标处理。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60" w:type="dxa"/>
            <w:gridSpan w:val="3"/>
            <w:vAlign w:val="center"/>
          </w:tcPr>
          <w:p>
            <w:pPr>
              <w:spacing w:line="312" w:lineRule="auto"/>
            </w:pPr>
            <w:r>
              <w:rPr>
                <w:rFonts w:hint="eastAsia"/>
              </w:rPr>
              <w:t>10.3  “暗标”评审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910" w:type="dxa"/>
            <w:vAlign w:val="center"/>
          </w:tcPr>
          <w:p>
            <w:pPr>
              <w:spacing w:line="312" w:lineRule="auto"/>
              <w:jc w:val="center"/>
            </w:pPr>
          </w:p>
        </w:tc>
        <w:tc>
          <w:tcPr>
            <w:tcW w:w="2150" w:type="dxa"/>
            <w:vAlign w:val="center"/>
          </w:tcPr>
          <w:p>
            <w:pPr>
              <w:spacing w:line="312" w:lineRule="auto"/>
            </w:pPr>
            <w:r>
              <w:rPr>
                <w:rFonts w:hint="eastAsia"/>
              </w:rPr>
              <w:t>代建方案是否采用“暗标”评审方式</w:t>
            </w:r>
          </w:p>
        </w:tc>
        <w:tc>
          <w:tcPr>
            <w:tcW w:w="6300" w:type="dxa"/>
            <w:vAlign w:val="center"/>
          </w:tcPr>
          <w:p>
            <w:pPr>
              <w:spacing w:line="312" w:lineRule="auto"/>
            </w:pPr>
            <w:r>
              <w:rPr>
                <w:rFonts w:hint="eastAsia" w:hAnsi="宋体"/>
                <w:szCs w:val="21"/>
                <w:bdr w:val="single" w:color="auto" w:sz="4" w:space="0"/>
              </w:rPr>
              <w:t>√</w:t>
            </w:r>
            <w:r>
              <w:rPr>
                <w:rFonts w:hint="eastAsia"/>
              </w:rPr>
              <w:t>不采用</w:t>
            </w:r>
          </w:p>
          <w:p>
            <w:pPr>
              <w:spacing w:line="312" w:lineRule="auto"/>
            </w:pPr>
            <w:r>
              <w:rPr>
                <w:rFonts w:hint="eastAsia"/>
              </w:rPr>
              <w:t>□采用，投标人应严格按照第八章“投标</w:t>
            </w:r>
          </w:p>
          <w:p>
            <w:pPr>
              <w:spacing w:line="312" w:lineRule="auto"/>
            </w:pPr>
            <w:r>
              <w:rPr>
                <w:rFonts w:hint="eastAsia"/>
              </w:rPr>
              <w:t xml:space="preserve">  文件格式”中“代建方案（技术暗</w:t>
            </w:r>
          </w:p>
          <w:p>
            <w:pPr>
              <w:spacing w:line="312" w:lineRule="auto"/>
            </w:pPr>
            <w:r>
              <w:rPr>
                <w:rFonts w:hint="eastAsia"/>
              </w:rPr>
              <w:t xml:space="preserve">  标）编制及装订要求”编制和装订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60" w:type="dxa"/>
            <w:gridSpan w:val="3"/>
            <w:vAlign w:val="center"/>
          </w:tcPr>
          <w:p>
            <w:pPr>
              <w:spacing w:line="312" w:lineRule="auto"/>
            </w:pPr>
            <w:r>
              <w:rPr>
                <w:rFonts w:hint="eastAsia"/>
              </w:rPr>
              <w:t>10.4  投标文件电子版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0" w:hRule="atLeast"/>
        </w:trPr>
        <w:tc>
          <w:tcPr>
            <w:tcW w:w="910" w:type="dxa"/>
            <w:vAlign w:val="center"/>
          </w:tcPr>
          <w:p>
            <w:pPr>
              <w:spacing w:line="312" w:lineRule="auto"/>
              <w:jc w:val="center"/>
            </w:pPr>
          </w:p>
        </w:tc>
        <w:tc>
          <w:tcPr>
            <w:tcW w:w="2150" w:type="dxa"/>
            <w:vAlign w:val="center"/>
          </w:tcPr>
          <w:p>
            <w:pPr>
              <w:spacing w:line="312" w:lineRule="auto"/>
            </w:pPr>
            <w:r>
              <w:rPr>
                <w:rFonts w:hint="eastAsia"/>
              </w:rPr>
              <w:t>是否要求投标人在递交投标文件时，同时递交投标文件电子版</w:t>
            </w:r>
          </w:p>
        </w:tc>
        <w:tc>
          <w:tcPr>
            <w:tcW w:w="6300" w:type="dxa"/>
            <w:vAlign w:val="center"/>
          </w:tcPr>
          <w:p>
            <w:pPr>
              <w:spacing w:line="312" w:lineRule="auto"/>
            </w:pPr>
            <w:r>
              <w:rPr>
                <w:rFonts w:hint="eastAsia"/>
              </w:rPr>
              <w:t>□不要求</w:t>
            </w:r>
          </w:p>
          <w:p>
            <w:pPr>
              <w:spacing w:line="312" w:lineRule="auto"/>
            </w:pPr>
            <w:r>
              <w:rPr>
                <w:rFonts w:hint="eastAsia" w:hAnsi="宋体"/>
                <w:szCs w:val="21"/>
                <w:bdr w:val="single" w:color="auto" w:sz="4" w:space="0"/>
              </w:rPr>
              <w:t>√</w:t>
            </w:r>
            <w:r>
              <w:rPr>
                <w:rFonts w:hint="eastAsia"/>
              </w:rPr>
              <w:t>要求，投标文件电子版内容：</w:t>
            </w:r>
          </w:p>
          <w:p>
            <w:pPr>
              <w:spacing w:line="312" w:lineRule="auto"/>
              <w:rPr>
                <w:u w:val="single"/>
              </w:rPr>
            </w:pPr>
            <w:r>
              <w:rPr>
                <w:rFonts w:hint="eastAsia"/>
              </w:rPr>
              <w:t xml:space="preserve">        </w:t>
            </w:r>
            <w:r>
              <w:rPr>
                <w:rFonts w:hint="eastAsia"/>
                <w:u w:val="single"/>
              </w:rPr>
              <w:t xml:space="preserve">     投标文件所有内容     </w:t>
            </w:r>
          </w:p>
          <w:p>
            <w:pPr>
              <w:spacing w:line="312" w:lineRule="auto"/>
            </w:pPr>
            <w:r>
              <w:rPr>
                <w:rFonts w:hint="eastAsia"/>
              </w:rPr>
              <w:t xml:space="preserve">        投标文件电子版份数：</w:t>
            </w:r>
          </w:p>
          <w:p>
            <w:pPr>
              <w:spacing w:line="312" w:lineRule="auto"/>
              <w:rPr>
                <w:u w:val="single"/>
              </w:rPr>
            </w:pPr>
            <w:r>
              <w:rPr>
                <w:rFonts w:hint="eastAsia"/>
              </w:rPr>
              <w:t xml:space="preserve">        </w:t>
            </w:r>
            <w:r>
              <w:rPr>
                <w:rFonts w:hint="eastAsia"/>
                <w:u w:val="single"/>
              </w:rPr>
              <w:t xml:space="preserve">       2份                </w:t>
            </w:r>
          </w:p>
          <w:p>
            <w:pPr>
              <w:spacing w:line="312" w:lineRule="auto"/>
            </w:pPr>
            <w:r>
              <w:rPr>
                <w:rFonts w:hint="eastAsia"/>
              </w:rPr>
              <w:t xml:space="preserve">        投标文件电子版形式：</w:t>
            </w:r>
          </w:p>
          <w:p>
            <w:pPr>
              <w:spacing w:line="312" w:lineRule="auto"/>
              <w:rPr>
                <w:u w:val="single"/>
              </w:rPr>
            </w:pPr>
            <w:r>
              <w:rPr>
                <w:rFonts w:hint="eastAsia"/>
              </w:rPr>
              <w:t xml:space="preserve">        </w:t>
            </w:r>
            <w:r>
              <w:rPr>
                <w:rFonts w:hint="eastAsia"/>
                <w:u w:val="single"/>
              </w:rPr>
              <w:t xml:space="preserve"> 格式为PDF版(盖公章)，以电子光盘和U盘的形式提供 </w:t>
            </w:r>
          </w:p>
          <w:p>
            <w:pPr>
              <w:spacing w:line="312" w:lineRule="auto"/>
            </w:pPr>
            <w:r>
              <w:rPr>
                <w:rFonts w:hint="eastAsia"/>
              </w:rPr>
              <w:t xml:space="preserve">        投标文件电子版密封方式：单独</w:t>
            </w:r>
          </w:p>
          <w:p>
            <w:pPr>
              <w:spacing w:line="312" w:lineRule="auto"/>
            </w:pPr>
            <w:r>
              <w:rPr>
                <w:rFonts w:hint="eastAsia"/>
              </w:rPr>
              <w:t xml:space="preserve">        放人一个密封袋中，加贴封条，</w:t>
            </w:r>
          </w:p>
          <w:p>
            <w:pPr>
              <w:spacing w:line="312" w:lineRule="auto"/>
            </w:pPr>
            <w:r>
              <w:rPr>
                <w:rFonts w:hint="eastAsia"/>
              </w:rPr>
              <w:t xml:space="preserve">        </w:t>
            </w:r>
            <w:r>
              <w:rPr>
                <w:rFonts w:hint="eastAsia"/>
                <w:spacing w:val="6"/>
                <w:szCs w:val="21"/>
              </w:rPr>
              <w:t>并在封套封口处加盖投标人</w:t>
            </w:r>
            <w:r>
              <w:rPr>
                <w:rFonts w:hint="eastAsia"/>
              </w:rPr>
              <w:t>单</w:t>
            </w:r>
          </w:p>
          <w:p>
            <w:pPr>
              <w:spacing w:line="312" w:lineRule="auto"/>
            </w:pPr>
            <w:r>
              <w:rPr>
                <w:rFonts w:hint="eastAsia"/>
              </w:rPr>
              <w:t xml:space="preserve">        位章，在封套上标记“投标文件</w:t>
            </w:r>
          </w:p>
          <w:p>
            <w:pPr>
              <w:spacing w:line="312" w:lineRule="auto"/>
            </w:pPr>
            <w:r>
              <w:rPr>
                <w:rFonts w:hint="eastAsia"/>
              </w:rPr>
              <w:t xml:space="preserve">        电子版”字样。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60" w:type="dxa"/>
            <w:gridSpan w:val="3"/>
            <w:vAlign w:val="center"/>
          </w:tcPr>
          <w:p>
            <w:pPr>
              <w:spacing w:line="312" w:lineRule="auto"/>
            </w:pPr>
            <w:r>
              <w:rPr>
                <w:rFonts w:hint="eastAsia"/>
              </w:rPr>
              <w:t>10.5  计算机辅助评标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10" w:type="dxa"/>
            <w:vAlign w:val="center"/>
          </w:tcPr>
          <w:p>
            <w:pPr>
              <w:spacing w:line="312" w:lineRule="auto"/>
              <w:jc w:val="center"/>
            </w:pPr>
          </w:p>
        </w:tc>
        <w:tc>
          <w:tcPr>
            <w:tcW w:w="2150" w:type="dxa"/>
            <w:vAlign w:val="center"/>
          </w:tcPr>
          <w:p>
            <w:pPr>
              <w:spacing w:line="312" w:lineRule="auto"/>
            </w:pPr>
            <w:r>
              <w:rPr>
                <w:rFonts w:hint="eastAsia"/>
              </w:rPr>
              <w:t>是否实行计算机辅助评标</w:t>
            </w:r>
          </w:p>
        </w:tc>
        <w:tc>
          <w:tcPr>
            <w:tcW w:w="6300" w:type="dxa"/>
            <w:vAlign w:val="center"/>
          </w:tcPr>
          <w:p>
            <w:pPr>
              <w:spacing w:line="312" w:lineRule="auto"/>
            </w:pPr>
            <w:r>
              <w:rPr>
                <w:rFonts w:hint="eastAsia" w:hAnsi="宋体"/>
                <w:szCs w:val="21"/>
                <w:bdr w:val="single" w:color="auto" w:sz="4" w:space="0"/>
              </w:rPr>
              <w:t>√</w:t>
            </w: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trPr>
        <w:tc>
          <w:tcPr>
            <w:tcW w:w="910" w:type="dxa"/>
          </w:tcPr>
          <w:p>
            <w:pPr>
              <w:spacing w:line="312" w:lineRule="auto"/>
              <w:jc w:val="center"/>
            </w:pPr>
          </w:p>
        </w:tc>
        <w:tc>
          <w:tcPr>
            <w:tcW w:w="2150" w:type="dxa"/>
          </w:tcPr>
          <w:p>
            <w:pPr>
              <w:spacing w:line="312" w:lineRule="auto"/>
            </w:pPr>
          </w:p>
        </w:tc>
        <w:tc>
          <w:tcPr>
            <w:tcW w:w="6300" w:type="dxa"/>
            <w:vAlign w:val="center"/>
          </w:tcPr>
          <w:p>
            <w:pPr>
              <w:spacing w:line="312" w:lineRule="auto"/>
              <w:ind w:left="210" w:hanging="210" w:hangingChars="100"/>
            </w:pPr>
            <w:r>
              <w:rPr>
                <w:rFonts w:hint="eastAsia"/>
              </w:rPr>
              <w:t>□是，投标人需递交纸质投标文件一份，同时按本须知附表八“电子投标文件编制及报送要求”编制及报送电子投标文件。计算机辅助评标方法见第三章“评标办法”。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360" w:type="dxa"/>
            <w:gridSpan w:val="3"/>
            <w:vAlign w:val="center"/>
          </w:tcPr>
          <w:p>
            <w:pPr>
              <w:spacing w:line="312" w:lineRule="auto"/>
              <w:ind w:left="210" w:hanging="210" w:hangingChars="100"/>
            </w:pPr>
            <w:r>
              <w:rPr>
                <w:rFonts w:hint="eastAsia"/>
              </w:rPr>
              <w:t>10.6投标人代表出席开标会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1" w:hRule="atLeast"/>
        </w:trPr>
        <w:tc>
          <w:tcPr>
            <w:tcW w:w="910" w:type="dxa"/>
            <w:vAlign w:val="center"/>
          </w:tcPr>
          <w:p>
            <w:pPr>
              <w:spacing w:line="312" w:lineRule="auto"/>
            </w:pPr>
          </w:p>
        </w:tc>
        <w:tc>
          <w:tcPr>
            <w:tcW w:w="8450" w:type="dxa"/>
            <w:gridSpan w:val="2"/>
            <w:vAlign w:val="center"/>
          </w:tcPr>
          <w:p>
            <w:pPr>
              <w:spacing w:line="312" w:lineRule="auto"/>
            </w:pPr>
            <w:r>
              <w:rPr>
                <w:rFonts w:hint="eastAsia"/>
              </w:rPr>
              <w:t>按照本须知第5.1款的规定，招标人邀请所有投标人的法定代表人或其委托代理人参加开标会。投标人的法定代表人或其委托代理人应当按时参加开标会，并在招标人按开标程序进行点名时，向招标人提交法定代表人身份证明文件或法定代表人授权委托书，出示本人身份证，以证明其出席，否则，其投标文件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360" w:type="dxa"/>
            <w:gridSpan w:val="3"/>
            <w:vAlign w:val="center"/>
          </w:tcPr>
          <w:p>
            <w:r>
              <w:rPr>
                <w:rFonts w:hint="eastAsia"/>
              </w:rPr>
              <w:t>10.7中标公示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910" w:type="dxa"/>
            <w:vAlign w:val="center"/>
          </w:tcPr>
          <w:p>
            <w:pPr>
              <w:spacing w:line="312" w:lineRule="auto"/>
            </w:pPr>
          </w:p>
        </w:tc>
        <w:tc>
          <w:tcPr>
            <w:tcW w:w="8450" w:type="dxa"/>
            <w:gridSpan w:val="2"/>
            <w:vAlign w:val="center"/>
          </w:tcPr>
          <w:p>
            <w:pPr>
              <w:spacing w:line="312" w:lineRule="auto"/>
            </w:pPr>
            <w:r>
              <w:rPr>
                <w:rFonts w:hint="eastAsia"/>
              </w:rPr>
              <w:t>在中标通知书发出前，招标人将中标候选人的情况在本招标项目招标公告发布的同一媒介公示，公示期不少于3日。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360" w:type="dxa"/>
            <w:gridSpan w:val="3"/>
            <w:vAlign w:val="center"/>
          </w:tcPr>
          <w:p>
            <w:pPr>
              <w:spacing w:line="312" w:lineRule="auto"/>
              <w:ind w:left="210" w:hanging="210" w:hangingChars="100"/>
            </w:pPr>
            <w:r>
              <w:rPr>
                <w:rFonts w:hint="eastAsia"/>
              </w:rPr>
              <w:t>10.8知识产权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910" w:type="dxa"/>
            <w:vAlign w:val="center"/>
          </w:tcPr>
          <w:p>
            <w:pPr>
              <w:spacing w:line="312" w:lineRule="auto"/>
            </w:pPr>
          </w:p>
        </w:tc>
        <w:tc>
          <w:tcPr>
            <w:tcW w:w="8450" w:type="dxa"/>
            <w:gridSpan w:val="2"/>
          </w:tcPr>
          <w:p>
            <w:pPr>
              <w:spacing w:line="312" w:lineRule="auto"/>
            </w:pPr>
            <w:r>
              <w:rPr>
                <w:rFonts w:hint="eastAsia"/>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360" w:type="dxa"/>
            <w:gridSpan w:val="3"/>
            <w:vAlign w:val="center"/>
          </w:tcPr>
          <w:p>
            <w:r>
              <w:rPr>
                <w:rFonts w:hint="eastAsia"/>
              </w:rPr>
              <w:t>10.9重新招标的其他情形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910" w:type="dxa"/>
            <w:vAlign w:val="center"/>
          </w:tcPr>
          <w:p>
            <w:pPr>
              <w:spacing w:line="312" w:lineRule="auto"/>
            </w:pPr>
          </w:p>
        </w:tc>
        <w:tc>
          <w:tcPr>
            <w:tcW w:w="8450" w:type="dxa"/>
            <w:gridSpan w:val="2"/>
            <w:vAlign w:val="center"/>
          </w:tcPr>
          <w:p>
            <w:r>
              <w:rPr>
                <w:rFonts w:hint="eastAsia"/>
              </w:rPr>
              <w:t>除投标人须知正文第8条规定的情形外，除非已经产生中标候选人，在投标有效期内同意延长投标有效期的投标人少于三个的，  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360" w:type="dxa"/>
            <w:gridSpan w:val="3"/>
            <w:vAlign w:val="center"/>
          </w:tcPr>
          <w:p>
            <w:pPr>
              <w:spacing w:line="312" w:lineRule="auto"/>
              <w:ind w:left="210" w:hanging="210" w:hangingChars="100"/>
            </w:pPr>
            <w:r>
              <w:rPr>
                <w:rFonts w:hint="eastAsia"/>
              </w:rPr>
              <w:t>10.10同义词语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910" w:type="dxa"/>
            <w:vAlign w:val="center"/>
          </w:tcPr>
          <w:p>
            <w:pPr>
              <w:spacing w:line="312" w:lineRule="auto"/>
            </w:pPr>
          </w:p>
        </w:tc>
        <w:tc>
          <w:tcPr>
            <w:tcW w:w="8450" w:type="dxa"/>
            <w:gridSpan w:val="2"/>
            <w:vAlign w:val="center"/>
          </w:tcPr>
          <w:p>
            <w:r>
              <w:rPr>
                <w:rFonts w:hint="eastAsia"/>
              </w:rPr>
              <w:t>构成招标文件组成部分的“通用合同条款”、“专用合同条款”、“技术标准和要求”等章节中出现的措辞“发包人”和“承包人”，在招标投标阶段应当分别按“招标人”和“投标人”进行理解。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360" w:type="dxa"/>
            <w:gridSpan w:val="3"/>
            <w:vAlign w:val="center"/>
          </w:tcPr>
          <w:p>
            <w:pPr>
              <w:spacing w:line="312" w:lineRule="auto"/>
              <w:ind w:left="210" w:hanging="210" w:hangingChars="100"/>
            </w:pPr>
            <w:r>
              <w:rPr>
                <w:rFonts w:hint="eastAsia"/>
              </w:rPr>
              <w:t>10.11监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910" w:type="dxa"/>
            <w:vAlign w:val="center"/>
          </w:tcPr>
          <w:p>
            <w:pPr>
              <w:spacing w:line="312" w:lineRule="auto"/>
            </w:pPr>
          </w:p>
        </w:tc>
        <w:tc>
          <w:tcPr>
            <w:tcW w:w="8450" w:type="dxa"/>
            <w:gridSpan w:val="2"/>
            <w:vAlign w:val="center"/>
          </w:tcPr>
          <w:p>
            <w:r>
              <w:rPr>
                <w:rFonts w:hint="eastAsia"/>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360" w:type="dxa"/>
            <w:gridSpan w:val="3"/>
            <w:vAlign w:val="center"/>
          </w:tcPr>
          <w:p>
            <w:pPr>
              <w:spacing w:line="312" w:lineRule="auto"/>
              <w:ind w:left="210" w:hanging="210" w:hangingChars="100"/>
            </w:pPr>
            <w:r>
              <w:rPr>
                <w:rFonts w:hint="eastAsia"/>
              </w:rPr>
              <w:t>10.12解释权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trPr>
        <w:tc>
          <w:tcPr>
            <w:tcW w:w="910" w:type="dxa"/>
            <w:vAlign w:val="center"/>
          </w:tcPr>
          <w:p>
            <w:pPr>
              <w:spacing w:line="312" w:lineRule="auto"/>
            </w:pPr>
          </w:p>
        </w:tc>
        <w:tc>
          <w:tcPr>
            <w:tcW w:w="8450" w:type="dxa"/>
            <w:gridSpan w:val="2"/>
          </w:tcPr>
          <w:p>
            <w:pPr>
              <w:spacing w:line="312" w:lineRule="auto"/>
            </w:pPr>
            <w:r>
              <w:rPr>
                <w:rFonts w:hint="eastAsia"/>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910" w:type="dxa"/>
            <w:vAlign w:val="center"/>
          </w:tcPr>
          <w:p>
            <w:pPr>
              <w:jc w:val="center"/>
            </w:pPr>
            <w:r>
              <w:t>招标文件</w:t>
            </w:r>
            <w:r>
              <w:rPr>
                <w:rFonts w:hint="eastAsia"/>
              </w:rPr>
              <w:t>费用</w:t>
            </w:r>
          </w:p>
        </w:tc>
        <w:tc>
          <w:tcPr>
            <w:tcW w:w="8450" w:type="dxa"/>
            <w:gridSpan w:val="2"/>
            <w:vAlign w:val="center"/>
          </w:tcPr>
          <w:p>
            <w:pPr>
              <w:spacing w:line="320" w:lineRule="exact"/>
            </w:pPr>
            <w:r>
              <w:t>招标文件每套售价500.0元</w:t>
            </w:r>
            <w:r>
              <w:rPr>
                <w:rFonts w:hint="eastAsia"/>
              </w:rPr>
              <w:t>，在开标现场缴纳。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9360" w:type="dxa"/>
            <w:gridSpan w:val="3"/>
            <w:vAlign w:val="center"/>
          </w:tcPr>
          <w:p>
            <w:r>
              <w:rPr>
                <w:rFonts w:hint="eastAsia"/>
              </w:rPr>
              <w:t>10.13 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0" w:type="dxa"/>
            <w:vAlign w:val="center"/>
          </w:tcPr>
          <w:p>
            <w:pPr>
              <w:spacing w:line="312" w:lineRule="auto"/>
            </w:pPr>
            <w:r>
              <w:rPr>
                <w:rFonts w:hint="eastAsia"/>
              </w:rPr>
              <w:t>10.13.1</w:t>
            </w:r>
          </w:p>
        </w:tc>
        <w:tc>
          <w:tcPr>
            <w:tcW w:w="8450" w:type="dxa"/>
            <w:gridSpan w:val="2"/>
            <w:vAlign w:val="center"/>
          </w:tcPr>
          <w:p>
            <w:pPr>
              <w:rPr>
                <w:rFonts w:ascii="宋体" w:hAnsi="宋体" w:cs="TimesNewRomanPSMT"/>
                <w:kern w:val="0"/>
                <w:szCs w:val="21"/>
              </w:rPr>
            </w:pPr>
            <w:r>
              <w:rPr>
                <w:rFonts w:hint="eastAsia" w:ascii="宋体" w:hAnsi="宋体" w:cs="TimesNewRomanPSMT"/>
                <w:kern w:val="0"/>
                <w:szCs w:val="21"/>
              </w:rPr>
              <w:t>本项目的招标控制价为按项目估算投资以全过程代建管理正常取费计算后的暂估价,签约合同价按三亚市发改委批复的初步设计概算总投资作为代建管理费取费基数,最终以结算价为准。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0" w:type="dxa"/>
            <w:vAlign w:val="center"/>
          </w:tcPr>
          <w:p>
            <w:pPr>
              <w:spacing w:line="312" w:lineRule="auto"/>
            </w:pPr>
            <w:r>
              <w:rPr>
                <w:rFonts w:hint="eastAsia"/>
              </w:rPr>
              <w:t>10.13.2</w:t>
            </w:r>
          </w:p>
        </w:tc>
        <w:tc>
          <w:tcPr>
            <w:tcW w:w="8450" w:type="dxa"/>
            <w:gridSpan w:val="2"/>
            <w:vAlign w:val="center"/>
          </w:tcPr>
          <w:p>
            <w:pPr>
              <w:rPr>
                <w:rFonts w:ascii="宋体" w:hAnsi="宋体" w:cs="TimesNewRomanPSMT"/>
                <w:kern w:val="0"/>
                <w:szCs w:val="21"/>
              </w:rPr>
            </w:pPr>
            <w:r>
              <w:rPr>
                <w:rFonts w:hint="eastAsia" w:ascii="宋体" w:hAnsi="宋体" w:cs="TimesNewRomanPSMT"/>
                <w:kern w:val="0"/>
                <w:szCs w:val="21"/>
              </w:rPr>
              <w:t>投标人须保证在本项目投标过程中所提供资料真实有效，若发现有弄虚作假，招标人将取消投标人投标或中标资格，没收其投标保证金，并将其不良行为上报有关行政主管部门</w:t>
            </w:r>
          </w:p>
        </w:tc>
      </w:tr>
    </w:tbl>
    <w:p/>
    <w:p>
      <w:pPr>
        <w:autoSpaceDE w:val="0"/>
        <w:autoSpaceDN w:val="0"/>
        <w:adjustRightInd w:val="0"/>
        <w:spacing w:line="360" w:lineRule="auto"/>
        <w:jc w:val="left"/>
        <w:rPr>
          <w:rFonts w:ascii="黑体" w:hAnsi="TimesNewRomanPSMT" w:eastAsia="黑体" w:cs="黑体"/>
          <w:kern w:val="0"/>
          <w:sz w:val="30"/>
          <w:szCs w:val="30"/>
        </w:rPr>
      </w:pPr>
      <w:r>
        <w:rPr>
          <w:rFonts w:hint="eastAsia" w:ascii="黑体" w:eastAsia="黑体"/>
        </w:rPr>
        <w:br w:type="page"/>
      </w:r>
      <w:r>
        <w:rPr>
          <w:rFonts w:ascii="TimesNewRomanPSMT" w:hAnsi="TimesNewRomanPSMT" w:cs="TimesNewRomanPSMT"/>
          <w:kern w:val="0"/>
          <w:sz w:val="30"/>
          <w:szCs w:val="30"/>
        </w:rPr>
        <w:t xml:space="preserve">1. </w:t>
      </w:r>
      <w:r>
        <w:rPr>
          <w:rFonts w:hint="eastAsia" w:ascii="黑体" w:hAnsi="TimesNewRomanPSMT" w:eastAsia="黑体" w:cs="黑体"/>
          <w:kern w:val="0"/>
          <w:sz w:val="30"/>
          <w:szCs w:val="30"/>
        </w:rPr>
        <w:t>总则</w:t>
      </w:r>
    </w:p>
    <w:p>
      <w:pPr>
        <w:autoSpaceDE w:val="0"/>
        <w:autoSpaceDN w:val="0"/>
        <w:adjustRightInd w:val="0"/>
        <w:spacing w:line="360" w:lineRule="auto"/>
        <w:jc w:val="left"/>
        <w:rPr>
          <w:rFonts w:ascii="黑体" w:hAnsi="TimesNewRomanPSMT" w:eastAsia="黑体" w:cs="黑体"/>
          <w:kern w:val="0"/>
          <w:sz w:val="28"/>
          <w:szCs w:val="28"/>
        </w:rPr>
      </w:pPr>
      <w:r>
        <w:rPr>
          <w:rFonts w:ascii="TimesNewRomanPSMT" w:hAnsi="TimesNewRomanPSMT" w:cs="TimesNewRomanPSMT"/>
          <w:kern w:val="0"/>
          <w:sz w:val="28"/>
          <w:szCs w:val="28"/>
        </w:rPr>
        <w:t xml:space="preserve">1.1 </w:t>
      </w:r>
      <w:r>
        <w:rPr>
          <w:rFonts w:hint="eastAsia" w:ascii="黑体" w:hAnsi="TimesNewRomanPSMT" w:eastAsia="黑体" w:cs="黑体"/>
          <w:kern w:val="0"/>
          <w:sz w:val="28"/>
          <w:szCs w:val="28"/>
        </w:rPr>
        <w:t>项目概况</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1.1.1 </w:t>
      </w:r>
      <w:r>
        <w:rPr>
          <w:rFonts w:hint="eastAsia" w:ascii="宋体" w:hAnsi="宋体" w:cs="宋体"/>
          <w:kern w:val="0"/>
          <w:sz w:val="24"/>
        </w:rPr>
        <w:t>根据《中华人民共和国招标投标法》等有关法律、法规和规章的规定，本招标项目已具备招标条件，现对本项目代建进行招标。</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1.1.2 </w:t>
      </w:r>
      <w:r>
        <w:rPr>
          <w:rFonts w:hint="eastAsia" w:ascii="宋体" w:hAnsi="宋体" w:cs="宋体"/>
          <w:kern w:val="0"/>
          <w:sz w:val="24"/>
        </w:rPr>
        <w:t>本招标项目招标人：见投标人须知前附表。</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1.1.3 </w:t>
      </w:r>
      <w:r>
        <w:rPr>
          <w:rFonts w:hint="eastAsia" w:ascii="宋体" w:hAnsi="宋体" w:cs="宋体"/>
          <w:kern w:val="0"/>
          <w:sz w:val="24"/>
        </w:rPr>
        <w:t>本标段招标代理机构：见投标人须知前附表。</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1.1.4 </w:t>
      </w:r>
      <w:r>
        <w:rPr>
          <w:rFonts w:hint="eastAsia" w:ascii="宋体" w:hAnsi="宋体" w:cs="宋体"/>
          <w:kern w:val="0"/>
          <w:sz w:val="24"/>
        </w:rPr>
        <w:t>本招标项目名称：见投标人须知前附表。</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1.1.5 </w:t>
      </w:r>
      <w:r>
        <w:rPr>
          <w:rFonts w:hint="eastAsia" w:ascii="宋体" w:hAnsi="宋体" w:cs="宋体"/>
          <w:kern w:val="0"/>
          <w:sz w:val="24"/>
        </w:rPr>
        <w:t>本标段建设地点：见投标人须知前附表。</w:t>
      </w:r>
    </w:p>
    <w:p>
      <w:pPr>
        <w:autoSpaceDE w:val="0"/>
        <w:autoSpaceDN w:val="0"/>
        <w:adjustRightInd w:val="0"/>
        <w:spacing w:line="360" w:lineRule="auto"/>
        <w:jc w:val="left"/>
        <w:rPr>
          <w:rFonts w:ascii="黑体" w:hAnsi="TimesNewRomanPSMT" w:eastAsia="黑体" w:cs="黑体"/>
          <w:kern w:val="0"/>
          <w:sz w:val="28"/>
          <w:szCs w:val="28"/>
        </w:rPr>
      </w:pPr>
      <w:r>
        <w:rPr>
          <w:rFonts w:ascii="TimesNewRomanPSMT" w:hAnsi="TimesNewRomanPSMT" w:cs="TimesNewRomanPSMT"/>
          <w:kern w:val="0"/>
          <w:sz w:val="28"/>
          <w:szCs w:val="28"/>
        </w:rPr>
        <w:t xml:space="preserve">1.2 </w:t>
      </w:r>
      <w:r>
        <w:rPr>
          <w:rFonts w:hint="eastAsia" w:ascii="黑体" w:hAnsi="TimesNewRomanPSMT" w:eastAsia="黑体" w:cs="黑体"/>
          <w:kern w:val="0"/>
          <w:sz w:val="28"/>
          <w:szCs w:val="28"/>
        </w:rPr>
        <w:t>资金来源和落实情况</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1.2.1 </w:t>
      </w:r>
      <w:r>
        <w:rPr>
          <w:rFonts w:hint="eastAsia" w:ascii="宋体" w:hAnsi="宋体" w:cs="宋体"/>
          <w:kern w:val="0"/>
          <w:sz w:val="24"/>
        </w:rPr>
        <w:t>本招标项目的资金来源：见投标人须知前附表。</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1.2.2 </w:t>
      </w:r>
      <w:r>
        <w:rPr>
          <w:rFonts w:hint="eastAsia" w:ascii="宋体" w:hAnsi="宋体" w:cs="宋体"/>
          <w:kern w:val="0"/>
          <w:sz w:val="24"/>
        </w:rPr>
        <w:t>本招标项目的出资比例：见投标人须知前附表。</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1.2.3 </w:t>
      </w:r>
      <w:r>
        <w:rPr>
          <w:rFonts w:hint="eastAsia" w:ascii="宋体" w:hAnsi="宋体" w:cs="宋体"/>
          <w:kern w:val="0"/>
          <w:sz w:val="24"/>
        </w:rPr>
        <w:t>本招标项目的资金落实情况：见投标人须知前附表。</w:t>
      </w:r>
    </w:p>
    <w:p>
      <w:pPr>
        <w:autoSpaceDE w:val="0"/>
        <w:autoSpaceDN w:val="0"/>
        <w:adjustRightInd w:val="0"/>
        <w:spacing w:line="360" w:lineRule="auto"/>
        <w:jc w:val="left"/>
        <w:rPr>
          <w:rFonts w:ascii="黑体" w:hAnsi="TimesNewRomanPSMT" w:eastAsia="黑体" w:cs="黑体"/>
          <w:kern w:val="0"/>
          <w:sz w:val="28"/>
          <w:szCs w:val="28"/>
        </w:rPr>
      </w:pPr>
      <w:r>
        <w:rPr>
          <w:rFonts w:ascii="TimesNewRomanPSMT" w:hAnsi="TimesNewRomanPSMT" w:cs="TimesNewRomanPSMT"/>
          <w:kern w:val="0"/>
          <w:sz w:val="28"/>
          <w:szCs w:val="28"/>
        </w:rPr>
        <w:t xml:space="preserve">1.3 </w:t>
      </w:r>
      <w:r>
        <w:rPr>
          <w:rFonts w:hint="eastAsia" w:ascii="黑体" w:hAnsi="TimesNewRomanPSMT" w:eastAsia="黑体" w:cs="黑体"/>
          <w:kern w:val="0"/>
          <w:sz w:val="28"/>
          <w:szCs w:val="28"/>
        </w:rPr>
        <w:t>招标范围、计划工期和质量要求</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1.3.1 </w:t>
      </w:r>
      <w:r>
        <w:rPr>
          <w:rFonts w:hint="eastAsia" w:ascii="宋体" w:hAnsi="宋体" w:cs="宋体"/>
          <w:kern w:val="0"/>
          <w:sz w:val="24"/>
        </w:rPr>
        <w:t>本次招标范围：见投标人须知前附表。</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1.3.2 </w:t>
      </w:r>
      <w:r>
        <w:rPr>
          <w:rFonts w:hint="eastAsia" w:ascii="宋体" w:hAnsi="宋体" w:cs="宋体"/>
          <w:kern w:val="0"/>
          <w:sz w:val="24"/>
        </w:rPr>
        <w:t>本标段的计划工期：见投标人须知前附表。</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1.3.3 </w:t>
      </w:r>
      <w:r>
        <w:rPr>
          <w:rFonts w:hint="eastAsia" w:ascii="宋体" w:hAnsi="宋体" w:cs="宋体"/>
          <w:kern w:val="0"/>
          <w:sz w:val="24"/>
        </w:rPr>
        <w:t>本标段的质量要求：见投标人须知前附表。</w:t>
      </w:r>
    </w:p>
    <w:p>
      <w:pPr>
        <w:autoSpaceDE w:val="0"/>
        <w:autoSpaceDN w:val="0"/>
        <w:adjustRightInd w:val="0"/>
        <w:spacing w:line="360" w:lineRule="auto"/>
        <w:jc w:val="left"/>
        <w:rPr>
          <w:rFonts w:ascii="黑体" w:hAnsi="TimesNewRomanPSMT" w:eastAsia="黑体" w:cs="黑体"/>
          <w:kern w:val="0"/>
          <w:sz w:val="28"/>
          <w:szCs w:val="28"/>
        </w:rPr>
      </w:pPr>
      <w:r>
        <w:rPr>
          <w:rFonts w:ascii="TimesNewRomanPSMT" w:hAnsi="TimesNewRomanPSMT" w:cs="TimesNewRomanPSMT"/>
          <w:kern w:val="0"/>
          <w:sz w:val="28"/>
          <w:szCs w:val="28"/>
        </w:rPr>
        <w:t xml:space="preserve">1.4 </w:t>
      </w:r>
      <w:r>
        <w:rPr>
          <w:rFonts w:hint="eastAsia" w:ascii="黑体" w:hAnsi="TimesNewRomanPSMT" w:eastAsia="黑体" w:cs="黑体"/>
          <w:kern w:val="0"/>
          <w:sz w:val="28"/>
          <w:szCs w:val="28"/>
        </w:rPr>
        <w:t>投标人资格要求（适用于未进行资格预审的）</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1.4.1 </w:t>
      </w:r>
      <w:r>
        <w:rPr>
          <w:rFonts w:hint="eastAsia" w:ascii="宋体" w:hAnsi="宋体" w:cs="宋体"/>
          <w:kern w:val="0"/>
          <w:sz w:val="24"/>
        </w:rPr>
        <w:t>投标人应具备承担代建的资质条件资质条件、能力和信誉。</w:t>
      </w:r>
    </w:p>
    <w:p>
      <w:pPr>
        <w:autoSpaceDE w:val="0"/>
        <w:autoSpaceDN w:val="0"/>
        <w:adjustRightInd w:val="0"/>
        <w:spacing w:line="360" w:lineRule="auto"/>
        <w:ind w:firstLine="960" w:firstLineChars="400"/>
        <w:jc w:val="left"/>
        <w:rPr>
          <w:rFonts w:ascii="宋体" w:hAnsi="宋体" w:cs="宋体"/>
          <w:kern w:val="0"/>
          <w:sz w:val="24"/>
        </w:rPr>
      </w:pPr>
      <w:r>
        <w:rPr>
          <w:rFonts w:hint="eastAsia" w:ascii="宋体" w:hAnsi="宋体" w:cs="宋体"/>
          <w:kern w:val="0"/>
          <w:sz w:val="24"/>
        </w:rPr>
        <w:t>（</w:t>
      </w:r>
      <w:r>
        <w:rPr>
          <w:rFonts w:ascii="宋体" w:hAnsi="宋体" w:cs="TimesNewRomanPSMT"/>
          <w:kern w:val="0"/>
          <w:sz w:val="24"/>
        </w:rPr>
        <w:t>1</w:t>
      </w:r>
      <w:r>
        <w:rPr>
          <w:rFonts w:hint="eastAsia" w:ascii="宋体" w:hAnsi="宋体" w:cs="宋体"/>
          <w:kern w:val="0"/>
          <w:sz w:val="24"/>
        </w:rPr>
        <w:t>）资质条件：见投标人须知前附表；</w:t>
      </w:r>
    </w:p>
    <w:p>
      <w:pPr>
        <w:autoSpaceDE w:val="0"/>
        <w:autoSpaceDN w:val="0"/>
        <w:adjustRightInd w:val="0"/>
        <w:spacing w:line="360" w:lineRule="auto"/>
        <w:ind w:firstLine="960" w:firstLineChars="400"/>
        <w:jc w:val="left"/>
        <w:rPr>
          <w:rFonts w:ascii="宋体" w:hAnsi="宋体" w:cs="宋体"/>
          <w:kern w:val="0"/>
          <w:sz w:val="24"/>
        </w:rPr>
      </w:pPr>
      <w:r>
        <w:rPr>
          <w:rFonts w:hint="eastAsia" w:ascii="宋体" w:hAnsi="宋体" w:cs="宋体"/>
          <w:kern w:val="0"/>
          <w:sz w:val="24"/>
        </w:rPr>
        <w:t>（</w:t>
      </w:r>
      <w:r>
        <w:rPr>
          <w:rFonts w:ascii="宋体" w:hAnsi="宋体" w:cs="TimesNewRomanPSMT"/>
          <w:kern w:val="0"/>
          <w:sz w:val="24"/>
        </w:rPr>
        <w:t>2</w:t>
      </w:r>
      <w:r>
        <w:rPr>
          <w:rFonts w:hint="eastAsia" w:ascii="宋体" w:hAnsi="宋体" w:cs="宋体"/>
          <w:kern w:val="0"/>
          <w:sz w:val="24"/>
        </w:rPr>
        <w:t>）财务要求：见投标人须知前附表；</w:t>
      </w:r>
    </w:p>
    <w:p>
      <w:pPr>
        <w:autoSpaceDE w:val="0"/>
        <w:autoSpaceDN w:val="0"/>
        <w:adjustRightInd w:val="0"/>
        <w:spacing w:line="360" w:lineRule="auto"/>
        <w:ind w:firstLine="960" w:firstLineChars="400"/>
        <w:jc w:val="left"/>
        <w:rPr>
          <w:rFonts w:ascii="宋体" w:hAnsi="宋体" w:cs="宋体"/>
          <w:kern w:val="0"/>
          <w:sz w:val="24"/>
        </w:rPr>
      </w:pPr>
      <w:r>
        <w:rPr>
          <w:rFonts w:hint="eastAsia" w:ascii="宋体" w:hAnsi="宋体" w:cs="宋体"/>
          <w:kern w:val="0"/>
          <w:sz w:val="24"/>
        </w:rPr>
        <w:t>（</w:t>
      </w:r>
      <w:r>
        <w:rPr>
          <w:rFonts w:ascii="宋体" w:hAnsi="宋体" w:cs="TimesNewRomanPSMT"/>
          <w:kern w:val="0"/>
          <w:sz w:val="24"/>
        </w:rPr>
        <w:t>3</w:t>
      </w:r>
      <w:r>
        <w:rPr>
          <w:rFonts w:hint="eastAsia" w:ascii="宋体" w:hAnsi="宋体" w:cs="宋体"/>
          <w:kern w:val="0"/>
          <w:sz w:val="24"/>
        </w:rPr>
        <w:t>）业绩要求：见投标人须知前附表；</w:t>
      </w:r>
    </w:p>
    <w:p>
      <w:pPr>
        <w:autoSpaceDE w:val="0"/>
        <w:autoSpaceDN w:val="0"/>
        <w:adjustRightInd w:val="0"/>
        <w:spacing w:line="360" w:lineRule="auto"/>
        <w:ind w:firstLine="960" w:firstLineChars="400"/>
        <w:jc w:val="left"/>
        <w:rPr>
          <w:rFonts w:ascii="宋体" w:hAnsi="宋体" w:cs="TimesNewRomanPSMT"/>
          <w:kern w:val="0"/>
          <w:sz w:val="24"/>
        </w:rPr>
      </w:pPr>
      <w:r>
        <w:rPr>
          <w:rFonts w:hint="eastAsia" w:ascii="宋体" w:hAnsi="宋体" w:cs="宋体"/>
          <w:kern w:val="0"/>
          <w:sz w:val="24"/>
        </w:rPr>
        <w:t>（</w:t>
      </w:r>
      <w:r>
        <w:rPr>
          <w:rFonts w:ascii="宋体" w:hAnsi="宋体" w:cs="TimesNewRomanPSMT"/>
          <w:kern w:val="0"/>
          <w:sz w:val="24"/>
        </w:rPr>
        <w:t>4</w:t>
      </w:r>
      <w:r>
        <w:rPr>
          <w:rFonts w:hint="eastAsia" w:ascii="宋体" w:hAnsi="宋体" w:cs="宋体"/>
          <w:kern w:val="0"/>
          <w:sz w:val="24"/>
        </w:rPr>
        <w:t>）信誉要求：见投标人须知前附表</w:t>
      </w:r>
      <w:r>
        <w:rPr>
          <w:rFonts w:ascii="宋体" w:hAnsi="宋体" w:cs="TimesNewRomanPSMT"/>
          <w:kern w:val="0"/>
          <w:sz w:val="24"/>
        </w:rPr>
        <w:t>;</w:t>
      </w:r>
    </w:p>
    <w:p>
      <w:pPr>
        <w:autoSpaceDE w:val="0"/>
        <w:autoSpaceDN w:val="0"/>
        <w:adjustRightInd w:val="0"/>
        <w:spacing w:line="360" w:lineRule="auto"/>
        <w:ind w:firstLine="960" w:firstLineChars="400"/>
        <w:jc w:val="left"/>
        <w:rPr>
          <w:rFonts w:ascii="宋体" w:hAnsi="宋体" w:cs="宋体"/>
          <w:kern w:val="0"/>
          <w:sz w:val="24"/>
        </w:rPr>
      </w:pPr>
      <w:r>
        <w:rPr>
          <w:rFonts w:hint="eastAsia" w:ascii="宋体" w:hAnsi="宋体" w:cs="宋体"/>
          <w:kern w:val="0"/>
          <w:sz w:val="24"/>
        </w:rPr>
        <w:t>（</w:t>
      </w:r>
      <w:r>
        <w:rPr>
          <w:rFonts w:ascii="宋体" w:hAnsi="宋体" w:cs="TimesNewRomanPSMT"/>
          <w:kern w:val="0"/>
          <w:sz w:val="24"/>
        </w:rPr>
        <w:t>5</w:t>
      </w:r>
      <w:r>
        <w:rPr>
          <w:rFonts w:hint="eastAsia" w:ascii="宋体" w:hAnsi="宋体" w:cs="宋体"/>
          <w:kern w:val="0"/>
          <w:sz w:val="24"/>
        </w:rPr>
        <w:t>）项目负责人：见投标人须知前附表；</w:t>
      </w:r>
    </w:p>
    <w:p>
      <w:pPr>
        <w:autoSpaceDE w:val="0"/>
        <w:autoSpaceDN w:val="0"/>
        <w:adjustRightInd w:val="0"/>
        <w:spacing w:line="360" w:lineRule="auto"/>
        <w:ind w:firstLine="960" w:firstLineChars="400"/>
        <w:jc w:val="left"/>
        <w:rPr>
          <w:rFonts w:ascii="宋体" w:hAnsi="宋体" w:cs="宋体"/>
          <w:kern w:val="0"/>
          <w:sz w:val="24"/>
        </w:rPr>
      </w:pPr>
      <w:r>
        <w:rPr>
          <w:rFonts w:hint="eastAsia" w:ascii="宋体" w:hAnsi="宋体" w:cs="宋体"/>
          <w:kern w:val="0"/>
          <w:sz w:val="24"/>
        </w:rPr>
        <w:t>（</w:t>
      </w:r>
      <w:r>
        <w:rPr>
          <w:rFonts w:ascii="宋体" w:hAnsi="宋体" w:cs="TimesNewRomanPSMT"/>
          <w:kern w:val="0"/>
          <w:sz w:val="24"/>
        </w:rPr>
        <w:t>6</w:t>
      </w:r>
      <w:r>
        <w:rPr>
          <w:rFonts w:hint="eastAsia" w:ascii="宋体" w:hAnsi="宋体" w:cs="宋体"/>
          <w:kern w:val="0"/>
          <w:sz w:val="24"/>
        </w:rPr>
        <w:t>）其他要求：见投标人须知前附表。</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1.4.2 </w:t>
      </w:r>
      <w:r>
        <w:rPr>
          <w:rFonts w:hint="eastAsia" w:ascii="宋体" w:hAnsi="宋体" w:cs="宋体"/>
          <w:kern w:val="0"/>
          <w:sz w:val="24"/>
        </w:rPr>
        <w:t>投标人须知前附表规定接受联合体投标的，除应符合本章第</w:t>
      </w:r>
      <w:r>
        <w:rPr>
          <w:rFonts w:ascii="宋体" w:hAnsi="宋体" w:cs="TimesNewRomanPSMT"/>
          <w:kern w:val="0"/>
          <w:sz w:val="24"/>
        </w:rPr>
        <w:t xml:space="preserve">1.4.1 </w:t>
      </w:r>
      <w:r>
        <w:rPr>
          <w:rFonts w:hint="eastAsia" w:ascii="宋体" w:hAnsi="宋体" w:cs="宋体"/>
          <w:kern w:val="0"/>
          <w:sz w:val="24"/>
        </w:rPr>
        <w:t>项和投标人须知前附表的要求外，还应遵守以下规定：</w:t>
      </w:r>
    </w:p>
    <w:p>
      <w:pPr>
        <w:autoSpaceDE w:val="0"/>
        <w:autoSpaceDN w:val="0"/>
        <w:adjustRightInd w:val="0"/>
        <w:spacing w:line="360" w:lineRule="auto"/>
        <w:ind w:firstLine="960" w:firstLineChars="400"/>
        <w:jc w:val="left"/>
        <w:rPr>
          <w:rFonts w:ascii="宋体" w:hAnsi="宋体" w:cs="宋体"/>
          <w:kern w:val="0"/>
          <w:sz w:val="24"/>
        </w:rPr>
      </w:pPr>
      <w:r>
        <w:rPr>
          <w:rFonts w:hint="eastAsia" w:ascii="宋体" w:hAnsi="宋体" w:cs="宋体"/>
          <w:kern w:val="0"/>
          <w:sz w:val="24"/>
        </w:rPr>
        <w:t>（</w:t>
      </w:r>
      <w:r>
        <w:rPr>
          <w:rFonts w:ascii="宋体" w:hAnsi="宋体" w:cs="TimesNewRomanPSMT"/>
          <w:kern w:val="0"/>
          <w:sz w:val="24"/>
        </w:rPr>
        <w:t>1</w:t>
      </w:r>
      <w:r>
        <w:rPr>
          <w:rFonts w:hint="eastAsia" w:ascii="宋体" w:hAnsi="宋体" w:cs="宋体"/>
          <w:kern w:val="0"/>
          <w:sz w:val="24"/>
        </w:rPr>
        <w:t>）联合体各方应按招标文件提供的格式签订联合体协议书，明确联合体牵头人和各方权利义务；</w:t>
      </w:r>
    </w:p>
    <w:p>
      <w:pPr>
        <w:autoSpaceDE w:val="0"/>
        <w:autoSpaceDN w:val="0"/>
        <w:adjustRightInd w:val="0"/>
        <w:spacing w:line="360" w:lineRule="auto"/>
        <w:ind w:firstLine="960" w:firstLineChars="400"/>
        <w:jc w:val="left"/>
        <w:rPr>
          <w:rFonts w:ascii="宋体" w:hAnsi="宋体" w:cs="宋体"/>
          <w:kern w:val="0"/>
          <w:sz w:val="24"/>
        </w:rPr>
      </w:pPr>
      <w:r>
        <w:rPr>
          <w:rFonts w:hint="eastAsia" w:ascii="宋体" w:hAnsi="宋体" w:cs="宋体"/>
          <w:kern w:val="0"/>
          <w:sz w:val="24"/>
        </w:rPr>
        <w:t>（</w:t>
      </w:r>
      <w:r>
        <w:rPr>
          <w:rFonts w:ascii="宋体" w:hAnsi="宋体" w:cs="TimesNewRomanPSMT"/>
          <w:kern w:val="0"/>
          <w:sz w:val="24"/>
        </w:rPr>
        <w:t>2</w:t>
      </w:r>
      <w:r>
        <w:rPr>
          <w:rFonts w:hint="eastAsia" w:ascii="宋体" w:hAnsi="宋体" w:cs="宋体"/>
          <w:kern w:val="0"/>
          <w:sz w:val="24"/>
        </w:rPr>
        <w:t>）由同一专业的单位组成的联合体，按照资质等级较低的单位确定资质等级；</w:t>
      </w:r>
    </w:p>
    <w:p>
      <w:pPr>
        <w:autoSpaceDE w:val="0"/>
        <w:autoSpaceDN w:val="0"/>
        <w:adjustRightInd w:val="0"/>
        <w:spacing w:line="360" w:lineRule="auto"/>
        <w:ind w:firstLine="960" w:firstLineChars="400"/>
        <w:jc w:val="left"/>
        <w:rPr>
          <w:rFonts w:ascii="宋体" w:hAnsi="宋体" w:cs="宋体"/>
          <w:kern w:val="0"/>
          <w:sz w:val="24"/>
        </w:rPr>
      </w:pPr>
      <w:r>
        <w:rPr>
          <w:rFonts w:hint="eastAsia" w:ascii="宋体" w:hAnsi="宋体" w:cs="宋体"/>
          <w:kern w:val="0"/>
          <w:sz w:val="24"/>
        </w:rPr>
        <w:t>（</w:t>
      </w:r>
      <w:r>
        <w:rPr>
          <w:rFonts w:ascii="宋体" w:hAnsi="宋体" w:cs="TimesNewRomanPSMT"/>
          <w:kern w:val="0"/>
          <w:sz w:val="24"/>
        </w:rPr>
        <w:t>3</w:t>
      </w:r>
      <w:r>
        <w:rPr>
          <w:rFonts w:hint="eastAsia" w:ascii="宋体" w:hAnsi="宋体" w:cs="宋体"/>
          <w:kern w:val="0"/>
          <w:sz w:val="24"/>
        </w:rPr>
        <w:t>）联合体各方不得再以自己名义单独或参加其他联合体在同一标段中投标。</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1.4.3 </w:t>
      </w:r>
      <w:r>
        <w:rPr>
          <w:rFonts w:hint="eastAsia" w:ascii="宋体" w:hAnsi="宋体" w:cs="宋体"/>
          <w:kern w:val="0"/>
          <w:sz w:val="24"/>
        </w:rPr>
        <w:t>投标人不得存在下列情形之一：</w:t>
      </w:r>
    </w:p>
    <w:p>
      <w:pPr>
        <w:autoSpaceDE w:val="0"/>
        <w:autoSpaceDN w:val="0"/>
        <w:adjustRightInd w:val="0"/>
        <w:spacing w:line="360" w:lineRule="auto"/>
        <w:ind w:firstLine="960" w:firstLineChars="400"/>
        <w:jc w:val="left"/>
        <w:rPr>
          <w:rFonts w:ascii="宋体" w:hAnsi="宋体" w:cs="宋体"/>
          <w:kern w:val="0"/>
          <w:sz w:val="24"/>
        </w:rPr>
      </w:pPr>
      <w:r>
        <w:rPr>
          <w:rFonts w:hint="eastAsia" w:ascii="宋体" w:hAnsi="宋体" w:cs="宋体"/>
          <w:kern w:val="0"/>
          <w:sz w:val="24"/>
        </w:rPr>
        <w:t>（</w:t>
      </w:r>
      <w:r>
        <w:rPr>
          <w:rFonts w:ascii="宋体" w:hAnsi="宋体" w:cs="TimesNewRomanPSMT"/>
          <w:kern w:val="0"/>
          <w:sz w:val="24"/>
        </w:rPr>
        <w:t>1</w:t>
      </w:r>
      <w:r>
        <w:rPr>
          <w:rFonts w:hint="eastAsia" w:ascii="宋体" w:hAnsi="宋体" w:cs="宋体"/>
          <w:kern w:val="0"/>
          <w:sz w:val="24"/>
        </w:rPr>
        <w:t>）为招标人不具有独立法人资格的附属机构（单位）；</w:t>
      </w:r>
    </w:p>
    <w:p>
      <w:pPr>
        <w:autoSpaceDE w:val="0"/>
        <w:autoSpaceDN w:val="0"/>
        <w:adjustRightInd w:val="0"/>
        <w:spacing w:line="360" w:lineRule="auto"/>
        <w:ind w:firstLine="960" w:firstLineChars="400"/>
        <w:jc w:val="left"/>
        <w:rPr>
          <w:rFonts w:ascii="宋体" w:hAnsi="宋体" w:cs="宋体"/>
          <w:kern w:val="0"/>
          <w:sz w:val="24"/>
        </w:rPr>
      </w:pPr>
      <w:r>
        <w:rPr>
          <w:rFonts w:hint="eastAsia" w:ascii="宋体" w:hAnsi="宋体" w:cs="宋体"/>
          <w:kern w:val="0"/>
          <w:sz w:val="24"/>
        </w:rPr>
        <w:t>（</w:t>
      </w:r>
      <w:r>
        <w:rPr>
          <w:rFonts w:ascii="宋体" w:hAnsi="宋体" w:cs="TimesNewRomanPSMT"/>
          <w:kern w:val="0"/>
          <w:sz w:val="24"/>
        </w:rPr>
        <w:t>2</w:t>
      </w:r>
      <w:r>
        <w:rPr>
          <w:rFonts w:hint="eastAsia" w:ascii="宋体" w:hAnsi="宋体" w:cs="宋体"/>
          <w:kern w:val="0"/>
          <w:sz w:val="24"/>
        </w:rPr>
        <w:t>）为本标段前期准备提供设计或咨询服务的，但设计施工总承包的除外；</w:t>
      </w:r>
    </w:p>
    <w:p>
      <w:pPr>
        <w:autoSpaceDE w:val="0"/>
        <w:autoSpaceDN w:val="0"/>
        <w:adjustRightInd w:val="0"/>
        <w:spacing w:line="360" w:lineRule="auto"/>
        <w:ind w:firstLine="960" w:firstLineChars="400"/>
        <w:jc w:val="left"/>
        <w:rPr>
          <w:rFonts w:ascii="宋体" w:hAnsi="宋体" w:cs="宋体"/>
          <w:kern w:val="0"/>
          <w:sz w:val="24"/>
        </w:rPr>
      </w:pPr>
      <w:r>
        <w:rPr>
          <w:rFonts w:hint="eastAsia" w:ascii="宋体" w:hAnsi="宋体" w:cs="宋体"/>
          <w:kern w:val="0"/>
          <w:sz w:val="24"/>
        </w:rPr>
        <w:t>（</w:t>
      </w:r>
      <w:r>
        <w:rPr>
          <w:rFonts w:ascii="宋体" w:hAnsi="宋体" w:cs="TimesNewRomanPSMT"/>
          <w:kern w:val="0"/>
          <w:sz w:val="24"/>
        </w:rPr>
        <w:t>3</w:t>
      </w:r>
      <w:r>
        <w:rPr>
          <w:rFonts w:hint="eastAsia" w:ascii="宋体" w:hAnsi="宋体" w:cs="宋体"/>
          <w:kern w:val="0"/>
          <w:sz w:val="24"/>
        </w:rPr>
        <w:t>）为本标段的监理人；</w:t>
      </w:r>
    </w:p>
    <w:p>
      <w:pPr>
        <w:autoSpaceDE w:val="0"/>
        <w:autoSpaceDN w:val="0"/>
        <w:adjustRightInd w:val="0"/>
        <w:spacing w:line="360" w:lineRule="auto"/>
        <w:ind w:firstLine="960" w:firstLineChars="400"/>
        <w:rPr>
          <w:rFonts w:ascii="宋体" w:hAnsi="宋体" w:cs="宋体"/>
          <w:kern w:val="0"/>
          <w:sz w:val="24"/>
        </w:rPr>
      </w:pPr>
      <w:r>
        <w:rPr>
          <w:rFonts w:hint="eastAsia" w:ascii="宋体" w:hAnsi="宋体" w:cs="宋体"/>
          <w:kern w:val="0"/>
          <w:sz w:val="24"/>
        </w:rPr>
        <w:t>（</w:t>
      </w:r>
      <w:r>
        <w:rPr>
          <w:rFonts w:ascii="宋体" w:hAnsi="宋体" w:cs="TimesNewRomanPSMT"/>
          <w:kern w:val="0"/>
          <w:sz w:val="24"/>
        </w:rPr>
        <w:t>4</w:t>
      </w:r>
      <w:r>
        <w:rPr>
          <w:rFonts w:hint="eastAsia" w:ascii="宋体" w:hAnsi="宋体" w:cs="宋体"/>
          <w:kern w:val="0"/>
          <w:sz w:val="24"/>
        </w:rPr>
        <w:t>）为本标段的代建人；（不适用）</w:t>
      </w:r>
    </w:p>
    <w:p>
      <w:pPr>
        <w:autoSpaceDE w:val="0"/>
        <w:autoSpaceDN w:val="0"/>
        <w:adjustRightInd w:val="0"/>
        <w:spacing w:line="360" w:lineRule="auto"/>
        <w:ind w:firstLine="960" w:firstLineChars="400"/>
        <w:rPr>
          <w:rFonts w:ascii="宋体" w:hAnsi="宋体" w:cs="宋体"/>
          <w:kern w:val="0"/>
          <w:sz w:val="24"/>
        </w:rPr>
      </w:pPr>
      <w:r>
        <w:rPr>
          <w:rFonts w:hint="eastAsia" w:ascii="宋体" w:hAnsi="宋体" w:cs="宋体"/>
          <w:kern w:val="0"/>
          <w:sz w:val="24"/>
        </w:rPr>
        <w:t>（</w:t>
      </w:r>
      <w:r>
        <w:rPr>
          <w:rFonts w:ascii="宋体" w:hAnsi="宋体" w:cs="TimesNewRomanPSMT"/>
          <w:kern w:val="0"/>
          <w:sz w:val="24"/>
        </w:rPr>
        <w:t>5</w:t>
      </w:r>
      <w:r>
        <w:rPr>
          <w:rFonts w:hint="eastAsia" w:ascii="宋体" w:hAnsi="宋体" w:cs="宋体"/>
          <w:kern w:val="0"/>
          <w:sz w:val="24"/>
        </w:rPr>
        <w:t>）为本标段提供招标代理服务的；</w:t>
      </w:r>
    </w:p>
    <w:p>
      <w:pPr>
        <w:autoSpaceDE w:val="0"/>
        <w:autoSpaceDN w:val="0"/>
        <w:adjustRightInd w:val="0"/>
        <w:spacing w:line="360" w:lineRule="auto"/>
        <w:ind w:firstLine="960" w:firstLineChars="400"/>
        <w:rPr>
          <w:rFonts w:ascii="宋体" w:hAnsi="宋体" w:cs="宋体"/>
          <w:kern w:val="0"/>
          <w:sz w:val="24"/>
        </w:rPr>
      </w:pPr>
      <w:r>
        <w:rPr>
          <w:rFonts w:hint="eastAsia" w:ascii="宋体" w:hAnsi="宋体" w:cs="宋体"/>
          <w:kern w:val="0"/>
          <w:sz w:val="24"/>
        </w:rPr>
        <w:t>（</w:t>
      </w:r>
      <w:r>
        <w:rPr>
          <w:rFonts w:ascii="宋体" w:hAnsi="宋体" w:cs="TimesNewRomanPSMT"/>
          <w:kern w:val="0"/>
          <w:sz w:val="24"/>
        </w:rPr>
        <w:t>6</w:t>
      </w:r>
      <w:r>
        <w:rPr>
          <w:rFonts w:hint="eastAsia" w:ascii="宋体" w:hAnsi="宋体" w:cs="宋体"/>
          <w:kern w:val="0"/>
          <w:sz w:val="24"/>
        </w:rPr>
        <w:t>）与本标段的监理人或招标代理机构同为一个法定代表人的；</w:t>
      </w:r>
    </w:p>
    <w:p>
      <w:pPr>
        <w:autoSpaceDE w:val="0"/>
        <w:autoSpaceDN w:val="0"/>
        <w:adjustRightInd w:val="0"/>
        <w:spacing w:line="360" w:lineRule="auto"/>
        <w:ind w:firstLine="960" w:firstLineChars="400"/>
        <w:rPr>
          <w:rFonts w:ascii="宋体" w:hAnsi="宋体" w:cs="宋体"/>
          <w:kern w:val="0"/>
          <w:sz w:val="24"/>
        </w:rPr>
      </w:pPr>
      <w:r>
        <w:rPr>
          <w:rFonts w:hint="eastAsia" w:ascii="宋体" w:hAnsi="宋体" w:cs="宋体"/>
          <w:kern w:val="0"/>
          <w:sz w:val="24"/>
        </w:rPr>
        <w:t>（</w:t>
      </w:r>
      <w:r>
        <w:rPr>
          <w:rFonts w:ascii="宋体" w:hAnsi="宋体" w:cs="TimesNewRomanPSMT"/>
          <w:kern w:val="0"/>
          <w:sz w:val="24"/>
        </w:rPr>
        <w:t>7</w:t>
      </w:r>
      <w:r>
        <w:rPr>
          <w:rFonts w:hint="eastAsia" w:ascii="宋体" w:hAnsi="宋体" w:cs="宋体"/>
          <w:kern w:val="0"/>
          <w:sz w:val="24"/>
        </w:rPr>
        <w:t>）与本标段的监理人或招标代理机构相互控股或参股的；</w:t>
      </w:r>
    </w:p>
    <w:p>
      <w:pPr>
        <w:autoSpaceDE w:val="0"/>
        <w:autoSpaceDN w:val="0"/>
        <w:adjustRightInd w:val="0"/>
        <w:spacing w:line="360" w:lineRule="auto"/>
        <w:ind w:firstLine="960" w:firstLineChars="400"/>
        <w:rPr>
          <w:rFonts w:ascii="宋体" w:hAnsi="宋体" w:cs="宋体"/>
          <w:kern w:val="0"/>
          <w:sz w:val="24"/>
        </w:rPr>
      </w:pPr>
      <w:r>
        <w:rPr>
          <w:rFonts w:hint="eastAsia" w:ascii="宋体" w:hAnsi="宋体" w:cs="宋体"/>
          <w:kern w:val="0"/>
          <w:sz w:val="24"/>
        </w:rPr>
        <w:t>（</w:t>
      </w:r>
      <w:r>
        <w:rPr>
          <w:rFonts w:ascii="宋体" w:hAnsi="宋体" w:cs="TimesNewRomanPSMT"/>
          <w:kern w:val="0"/>
          <w:sz w:val="24"/>
        </w:rPr>
        <w:t>8</w:t>
      </w:r>
      <w:r>
        <w:rPr>
          <w:rFonts w:hint="eastAsia" w:ascii="宋体" w:hAnsi="宋体" w:cs="宋体"/>
          <w:kern w:val="0"/>
          <w:sz w:val="24"/>
        </w:rPr>
        <w:t>）与本标段的监理人或招标代理机构相互任职或工作的；</w:t>
      </w:r>
    </w:p>
    <w:p>
      <w:pPr>
        <w:autoSpaceDE w:val="0"/>
        <w:autoSpaceDN w:val="0"/>
        <w:adjustRightInd w:val="0"/>
        <w:spacing w:line="360" w:lineRule="auto"/>
        <w:ind w:firstLine="960" w:firstLineChars="400"/>
        <w:rPr>
          <w:rFonts w:ascii="宋体" w:hAnsi="宋体" w:cs="宋体"/>
          <w:kern w:val="0"/>
          <w:sz w:val="24"/>
        </w:rPr>
      </w:pPr>
      <w:r>
        <w:rPr>
          <w:rFonts w:hint="eastAsia" w:ascii="宋体" w:hAnsi="宋体" w:cs="宋体"/>
          <w:kern w:val="0"/>
          <w:sz w:val="24"/>
        </w:rPr>
        <w:t>（</w:t>
      </w:r>
      <w:r>
        <w:rPr>
          <w:rFonts w:ascii="宋体" w:hAnsi="宋体" w:cs="TimesNewRomanPSMT"/>
          <w:kern w:val="0"/>
          <w:sz w:val="24"/>
        </w:rPr>
        <w:t>9</w:t>
      </w:r>
      <w:r>
        <w:rPr>
          <w:rFonts w:hint="eastAsia" w:ascii="宋体" w:hAnsi="宋体" w:cs="宋体"/>
          <w:kern w:val="0"/>
          <w:sz w:val="24"/>
        </w:rPr>
        <w:t>）被责令停业的；</w:t>
      </w:r>
    </w:p>
    <w:p>
      <w:pPr>
        <w:autoSpaceDE w:val="0"/>
        <w:autoSpaceDN w:val="0"/>
        <w:adjustRightInd w:val="0"/>
        <w:spacing w:line="360" w:lineRule="auto"/>
        <w:ind w:firstLine="960" w:firstLineChars="400"/>
        <w:rPr>
          <w:rFonts w:ascii="宋体" w:hAnsi="宋体" w:cs="宋体"/>
          <w:kern w:val="0"/>
          <w:sz w:val="24"/>
        </w:rPr>
      </w:pPr>
      <w:r>
        <w:rPr>
          <w:rFonts w:hint="eastAsia" w:ascii="宋体" w:hAnsi="宋体" w:cs="宋体"/>
          <w:kern w:val="0"/>
          <w:sz w:val="24"/>
        </w:rPr>
        <w:t>（</w:t>
      </w:r>
      <w:r>
        <w:rPr>
          <w:rFonts w:ascii="宋体" w:hAnsi="宋体" w:cs="TimesNewRomanPSMT"/>
          <w:kern w:val="0"/>
          <w:sz w:val="24"/>
        </w:rPr>
        <w:t>10</w:t>
      </w:r>
      <w:r>
        <w:rPr>
          <w:rFonts w:hint="eastAsia" w:ascii="宋体" w:hAnsi="宋体" w:cs="宋体"/>
          <w:kern w:val="0"/>
          <w:sz w:val="24"/>
        </w:rPr>
        <w:t>）被暂停或取消投标资格的；</w:t>
      </w:r>
    </w:p>
    <w:p>
      <w:pPr>
        <w:autoSpaceDE w:val="0"/>
        <w:autoSpaceDN w:val="0"/>
        <w:adjustRightInd w:val="0"/>
        <w:spacing w:line="360" w:lineRule="auto"/>
        <w:ind w:firstLine="960" w:firstLineChars="400"/>
        <w:rPr>
          <w:rFonts w:ascii="宋体" w:hAnsi="宋体" w:cs="宋体"/>
          <w:kern w:val="0"/>
          <w:sz w:val="24"/>
        </w:rPr>
      </w:pPr>
      <w:r>
        <w:rPr>
          <w:rFonts w:hint="eastAsia" w:ascii="宋体" w:hAnsi="宋体" w:cs="宋体"/>
          <w:kern w:val="0"/>
          <w:sz w:val="24"/>
        </w:rPr>
        <w:t>（</w:t>
      </w:r>
      <w:r>
        <w:rPr>
          <w:rFonts w:ascii="宋体" w:hAnsi="宋体" w:cs="宋体"/>
          <w:kern w:val="0"/>
          <w:sz w:val="24"/>
        </w:rPr>
        <w:t>11</w:t>
      </w:r>
      <w:r>
        <w:rPr>
          <w:rFonts w:hint="eastAsia" w:ascii="宋体" w:hAnsi="宋体" w:cs="宋体"/>
          <w:kern w:val="0"/>
          <w:sz w:val="24"/>
        </w:rPr>
        <w:t>）财产被接管或冻结的；</w:t>
      </w:r>
    </w:p>
    <w:p>
      <w:pPr>
        <w:autoSpaceDE w:val="0"/>
        <w:autoSpaceDN w:val="0"/>
        <w:adjustRightInd w:val="0"/>
        <w:spacing w:line="360" w:lineRule="auto"/>
        <w:ind w:firstLine="960" w:firstLineChars="400"/>
        <w:rPr>
          <w:rFonts w:ascii="宋体" w:hAnsi="宋体" w:cs="宋体"/>
          <w:kern w:val="0"/>
          <w:sz w:val="24"/>
        </w:rPr>
      </w:pPr>
      <w:r>
        <w:rPr>
          <w:rFonts w:hint="eastAsia" w:ascii="宋体" w:hAnsi="宋体" w:cs="宋体"/>
          <w:kern w:val="0"/>
          <w:sz w:val="24"/>
        </w:rPr>
        <w:t>（</w:t>
      </w:r>
      <w:r>
        <w:rPr>
          <w:rFonts w:ascii="宋体" w:hAnsi="宋体" w:cs="宋体"/>
          <w:kern w:val="0"/>
          <w:sz w:val="24"/>
        </w:rPr>
        <w:t>12</w:t>
      </w:r>
      <w:r>
        <w:rPr>
          <w:rFonts w:hint="eastAsia" w:ascii="宋体" w:hAnsi="宋体" w:cs="宋体"/>
          <w:kern w:val="0"/>
          <w:sz w:val="24"/>
        </w:rPr>
        <w:t>）在最近三年内有骗取中标或严重违约或重大工程质量问题的。</w:t>
      </w:r>
    </w:p>
    <w:p>
      <w:pPr>
        <w:autoSpaceDE w:val="0"/>
        <w:autoSpaceDN w:val="0"/>
        <w:adjustRightInd w:val="0"/>
        <w:spacing w:line="360" w:lineRule="auto"/>
        <w:rPr>
          <w:rFonts w:ascii="黑体" w:hAnsi="TimesNewRomanPSMT" w:eastAsia="黑体" w:cs="黑体"/>
          <w:kern w:val="0"/>
          <w:sz w:val="28"/>
          <w:szCs w:val="28"/>
        </w:rPr>
      </w:pPr>
      <w:r>
        <w:rPr>
          <w:rFonts w:ascii="宋体" w:hAnsi="TimesNewRomanPSMT" w:cs="宋体"/>
          <w:kern w:val="0"/>
          <w:sz w:val="28"/>
          <w:szCs w:val="28"/>
        </w:rPr>
        <w:t xml:space="preserve">1.5 </w:t>
      </w:r>
      <w:r>
        <w:rPr>
          <w:rFonts w:hint="eastAsia" w:ascii="黑体" w:hAnsi="TimesNewRomanPSMT" w:eastAsia="黑体" w:cs="黑体"/>
          <w:kern w:val="0"/>
          <w:sz w:val="28"/>
          <w:szCs w:val="28"/>
        </w:rPr>
        <w:t>费用承担</w:t>
      </w:r>
    </w:p>
    <w:p>
      <w:pPr>
        <w:autoSpaceDE w:val="0"/>
        <w:autoSpaceDN w:val="0"/>
        <w:adjustRightInd w:val="0"/>
        <w:spacing w:line="360" w:lineRule="auto"/>
        <w:ind w:firstLine="480" w:firstLineChars="200"/>
        <w:rPr>
          <w:rFonts w:ascii="宋体" w:hAnsi="TimesNewRomanPSMT" w:cs="宋体"/>
          <w:kern w:val="0"/>
          <w:sz w:val="24"/>
        </w:rPr>
      </w:pPr>
      <w:r>
        <w:rPr>
          <w:rFonts w:hint="eastAsia" w:ascii="宋体" w:hAnsi="TimesNewRomanPSMT" w:cs="宋体"/>
          <w:kern w:val="0"/>
          <w:sz w:val="24"/>
        </w:rPr>
        <w:t>投标人准备和参加投标活动发生的费用自理。</w:t>
      </w:r>
    </w:p>
    <w:p>
      <w:pPr>
        <w:autoSpaceDE w:val="0"/>
        <w:autoSpaceDN w:val="0"/>
        <w:adjustRightInd w:val="0"/>
        <w:spacing w:line="360" w:lineRule="auto"/>
        <w:jc w:val="left"/>
        <w:rPr>
          <w:rFonts w:ascii="黑体" w:hAnsi="TimesNewRomanPSMT" w:eastAsia="黑体" w:cs="黑体"/>
          <w:kern w:val="0"/>
          <w:sz w:val="28"/>
          <w:szCs w:val="28"/>
        </w:rPr>
      </w:pPr>
      <w:r>
        <w:rPr>
          <w:rFonts w:ascii="宋体" w:hAnsi="TimesNewRomanPSMT" w:cs="宋体"/>
          <w:kern w:val="0"/>
          <w:sz w:val="28"/>
          <w:szCs w:val="28"/>
        </w:rPr>
        <w:t xml:space="preserve">1.6 </w:t>
      </w:r>
      <w:r>
        <w:rPr>
          <w:rFonts w:hint="eastAsia" w:ascii="黑体" w:hAnsi="TimesNewRomanPSMT" w:eastAsia="黑体" w:cs="黑体"/>
          <w:kern w:val="0"/>
          <w:sz w:val="28"/>
          <w:szCs w:val="28"/>
        </w:rPr>
        <w:t>保密</w:t>
      </w:r>
    </w:p>
    <w:p>
      <w:pPr>
        <w:autoSpaceDE w:val="0"/>
        <w:autoSpaceDN w:val="0"/>
        <w:adjustRightInd w:val="0"/>
        <w:spacing w:line="360" w:lineRule="auto"/>
        <w:ind w:firstLine="480" w:firstLineChars="200"/>
        <w:rPr>
          <w:rFonts w:ascii="宋体" w:hAnsi="TimesNewRomanPSMT" w:cs="宋体"/>
          <w:kern w:val="0"/>
          <w:sz w:val="24"/>
        </w:rPr>
      </w:pPr>
      <w:r>
        <w:rPr>
          <w:rFonts w:hint="eastAsia" w:ascii="宋体" w:hAnsi="TimesNewRomanPSMT" w:cs="宋体"/>
          <w:kern w:val="0"/>
          <w:sz w:val="24"/>
        </w:rPr>
        <w:t>参与招标投标活动的各方应对招标文件和投标文件中的商业和技术等秘密保密，违者应对由此造成的后果承担法律责任。</w:t>
      </w:r>
    </w:p>
    <w:p>
      <w:pPr>
        <w:autoSpaceDE w:val="0"/>
        <w:autoSpaceDN w:val="0"/>
        <w:adjustRightInd w:val="0"/>
        <w:spacing w:line="360" w:lineRule="auto"/>
        <w:rPr>
          <w:rFonts w:ascii="黑体" w:hAnsi="TimesNewRomanPSMT" w:eastAsia="黑体" w:cs="黑体"/>
          <w:kern w:val="0"/>
          <w:sz w:val="28"/>
          <w:szCs w:val="28"/>
        </w:rPr>
      </w:pPr>
      <w:r>
        <w:rPr>
          <w:rFonts w:ascii="宋体" w:hAnsi="TimesNewRomanPSMT" w:cs="宋体"/>
          <w:kern w:val="0"/>
          <w:sz w:val="28"/>
          <w:szCs w:val="28"/>
        </w:rPr>
        <w:t xml:space="preserve">1.7 </w:t>
      </w:r>
      <w:r>
        <w:rPr>
          <w:rFonts w:hint="eastAsia" w:ascii="黑体" w:hAnsi="TimesNewRomanPSMT" w:eastAsia="黑体" w:cs="黑体"/>
          <w:kern w:val="0"/>
          <w:sz w:val="28"/>
          <w:szCs w:val="28"/>
        </w:rPr>
        <w:t>语言文字</w:t>
      </w:r>
    </w:p>
    <w:p>
      <w:pPr>
        <w:autoSpaceDE w:val="0"/>
        <w:autoSpaceDN w:val="0"/>
        <w:adjustRightInd w:val="0"/>
        <w:spacing w:line="360" w:lineRule="auto"/>
        <w:ind w:firstLine="480" w:firstLineChars="200"/>
        <w:rPr>
          <w:rFonts w:ascii="宋体" w:hAnsi="TimesNewRomanPSMT" w:cs="宋体"/>
          <w:kern w:val="0"/>
          <w:sz w:val="24"/>
        </w:rPr>
      </w:pPr>
      <w:r>
        <w:rPr>
          <w:rFonts w:hint="eastAsia" w:ascii="宋体" w:hAnsi="TimesNewRomanPSMT" w:cs="宋体"/>
          <w:kern w:val="0"/>
          <w:sz w:val="24"/>
        </w:rPr>
        <w:t>除专用术语外，与招标投标有关的语言均使用中文。必要时专用术语应附有中文注释。</w:t>
      </w:r>
    </w:p>
    <w:p>
      <w:pPr>
        <w:autoSpaceDE w:val="0"/>
        <w:autoSpaceDN w:val="0"/>
        <w:adjustRightInd w:val="0"/>
        <w:spacing w:line="360" w:lineRule="auto"/>
        <w:rPr>
          <w:rFonts w:ascii="黑体" w:hAnsi="TimesNewRomanPSMT" w:eastAsia="黑体" w:cs="黑体"/>
          <w:kern w:val="0"/>
          <w:sz w:val="28"/>
          <w:szCs w:val="28"/>
        </w:rPr>
      </w:pPr>
      <w:r>
        <w:rPr>
          <w:rFonts w:ascii="宋体" w:hAnsi="TimesNewRomanPSMT" w:cs="宋体"/>
          <w:kern w:val="0"/>
          <w:sz w:val="28"/>
          <w:szCs w:val="28"/>
        </w:rPr>
        <w:t xml:space="preserve">1.8 </w:t>
      </w:r>
      <w:r>
        <w:rPr>
          <w:rFonts w:hint="eastAsia" w:ascii="黑体" w:hAnsi="TimesNewRomanPSMT" w:eastAsia="黑体" w:cs="黑体"/>
          <w:kern w:val="0"/>
          <w:sz w:val="28"/>
          <w:szCs w:val="28"/>
        </w:rPr>
        <w:t>计量单位</w:t>
      </w:r>
    </w:p>
    <w:p>
      <w:pPr>
        <w:autoSpaceDE w:val="0"/>
        <w:autoSpaceDN w:val="0"/>
        <w:adjustRightInd w:val="0"/>
        <w:spacing w:line="360" w:lineRule="auto"/>
        <w:ind w:firstLine="480" w:firstLineChars="200"/>
        <w:rPr>
          <w:rFonts w:ascii="宋体" w:hAnsi="TimesNewRomanPSMT" w:cs="宋体"/>
          <w:kern w:val="0"/>
          <w:sz w:val="24"/>
        </w:rPr>
      </w:pPr>
      <w:r>
        <w:rPr>
          <w:rFonts w:hint="eastAsia" w:ascii="宋体" w:hAnsi="TimesNewRomanPSMT" w:cs="宋体"/>
          <w:kern w:val="0"/>
          <w:sz w:val="24"/>
        </w:rPr>
        <w:t>所有计量均采用中华人民共和国法定计量单位。</w:t>
      </w:r>
    </w:p>
    <w:p>
      <w:pPr>
        <w:autoSpaceDE w:val="0"/>
        <w:autoSpaceDN w:val="0"/>
        <w:adjustRightInd w:val="0"/>
        <w:spacing w:line="360" w:lineRule="auto"/>
        <w:rPr>
          <w:rFonts w:ascii="黑体" w:hAnsi="TimesNewRomanPSMT" w:eastAsia="黑体" w:cs="黑体"/>
          <w:kern w:val="0"/>
          <w:sz w:val="28"/>
          <w:szCs w:val="28"/>
        </w:rPr>
      </w:pPr>
      <w:r>
        <w:rPr>
          <w:rFonts w:ascii="宋体" w:hAnsi="TimesNewRomanPSMT" w:cs="宋体"/>
          <w:kern w:val="0"/>
          <w:sz w:val="28"/>
          <w:szCs w:val="28"/>
        </w:rPr>
        <w:t xml:space="preserve">1.9 </w:t>
      </w:r>
      <w:r>
        <w:rPr>
          <w:rFonts w:hint="eastAsia" w:ascii="黑体" w:hAnsi="TimesNewRomanPSMT" w:eastAsia="黑体" w:cs="黑体"/>
          <w:kern w:val="0"/>
          <w:sz w:val="28"/>
          <w:szCs w:val="28"/>
        </w:rPr>
        <w:t>踏勘现场</w:t>
      </w:r>
    </w:p>
    <w:p>
      <w:pPr>
        <w:autoSpaceDE w:val="0"/>
        <w:autoSpaceDN w:val="0"/>
        <w:adjustRightInd w:val="0"/>
        <w:spacing w:line="360" w:lineRule="auto"/>
        <w:ind w:firstLine="480" w:firstLineChars="200"/>
        <w:rPr>
          <w:rFonts w:ascii="宋体" w:hAnsi="宋体" w:cs="宋体"/>
          <w:kern w:val="0"/>
          <w:sz w:val="24"/>
        </w:rPr>
      </w:pPr>
      <w:r>
        <w:rPr>
          <w:rFonts w:ascii="宋体" w:hAnsi="宋体" w:cs="宋体"/>
          <w:kern w:val="0"/>
          <w:sz w:val="24"/>
        </w:rPr>
        <w:t xml:space="preserve">1.9.1 </w:t>
      </w:r>
      <w:r>
        <w:rPr>
          <w:rFonts w:hint="eastAsia" w:ascii="宋体" w:hAnsi="宋体" w:cs="宋体"/>
          <w:kern w:val="0"/>
          <w:sz w:val="24"/>
        </w:rPr>
        <w:t>投标人须知前附表规定组织踏勘现场的，招标人按投标人须知前附表规定的时间、地点组织投标人踏勘项目现场。</w:t>
      </w:r>
    </w:p>
    <w:p>
      <w:pPr>
        <w:autoSpaceDE w:val="0"/>
        <w:autoSpaceDN w:val="0"/>
        <w:adjustRightInd w:val="0"/>
        <w:spacing w:line="360" w:lineRule="auto"/>
        <w:ind w:firstLine="480" w:firstLineChars="200"/>
        <w:rPr>
          <w:rFonts w:ascii="宋体" w:hAnsi="TimesNewRomanPSMT" w:cs="宋体"/>
          <w:kern w:val="0"/>
          <w:sz w:val="24"/>
        </w:rPr>
      </w:pPr>
      <w:r>
        <w:rPr>
          <w:rFonts w:ascii="宋体" w:hAnsi="TimesNewRomanPSMT" w:cs="宋体"/>
          <w:kern w:val="0"/>
          <w:sz w:val="24"/>
        </w:rPr>
        <w:t xml:space="preserve">1.9.2 </w:t>
      </w:r>
      <w:r>
        <w:rPr>
          <w:rFonts w:hint="eastAsia" w:ascii="宋体" w:hAnsi="TimesNewRomanPSMT" w:cs="宋体"/>
          <w:kern w:val="0"/>
          <w:sz w:val="24"/>
        </w:rPr>
        <w:t>投标人踏勘现场发生的费用自理。</w:t>
      </w:r>
    </w:p>
    <w:p>
      <w:pPr>
        <w:autoSpaceDE w:val="0"/>
        <w:autoSpaceDN w:val="0"/>
        <w:adjustRightInd w:val="0"/>
        <w:spacing w:line="360" w:lineRule="auto"/>
        <w:ind w:firstLine="480" w:firstLineChars="200"/>
        <w:rPr>
          <w:rFonts w:ascii="宋体" w:hAnsi="TimesNewRomanPSMT" w:cs="宋体"/>
          <w:kern w:val="0"/>
          <w:sz w:val="24"/>
        </w:rPr>
      </w:pPr>
      <w:r>
        <w:rPr>
          <w:rFonts w:ascii="宋体" w:hAnsi="TimesNewRomanPSMT" w:cs="宋体"/>
          <w:kern w:val="0"/>
          <w:sz w:val="24"/>
        </w:rPr>
        <w:t xml:space="preserve">1.9.3 </w:t>
      </w:r>
      <w:r>
        <w:rPr>
          <w:rFonts w:hint="eastAsia" w:ascii="宋体" w:hAnsi="TimesNewRomanPSMT" w:cs="宋体"/>
          <w:kern w:val="0"/>
          <w:sz w:val="24"/>
        </w:rPr>
        <w:t>除招标人的原因外，投标人自行负责在踏勘现场中所发生的人员伤亡和财产损失。</w:t>
      </w:r>
    </w:p>
    <w:p>
      <w:pPr>
        <w:autoSpaceDE w:val="0"/>
        <w:autoSpaceDN w:val="0"/>
        <w:adjustRightInd w:val="0"/>
        <w:spacing w:line="360" w:lineRule="auto"/>
        <w:ind w:firstLine="480" w:firstLineChars="200"/>
        <w:rPr>
          <w:rFonts w:ascii="宋体" w:hAnsi="TimesNewRomanPSMT" w:cs="宋体"/>
          <w:kern w:val="0"/>
          <w:sz w:val="24"/>
        </w:rPr>
      </w:pPr>
      <w:r>
        <w:rPr>
          <w:rFonts w:ascii="宋体" w:hAnsi="TimesNewRomanPSMT" w:cs="宋体"/>
          <w:kern w:val="0"/>
          <w:sz w:val="24"/>
        </w:rPr>
        <w:t xml:space="preserve">1.9.4 </w:t>
      </w:r>
      <w:r>
        <w:rPr>
          <w:rFonts w:hint="eastAsia" w:ascii="宋体" w:hAnsi="TimesNewRomanPSMT" w:cs="宋体"/>
          <w:kern w:val="0"/>
          <w:sz w:val="24"/>
        </w:rPr>
        <w:t>招标人在踏勘现场中介绍的工程场地和相关的周边环境情况，供投标人在编制投标文件时参考，招标人不对投标人据此作出的判断和决策负责。</w:t>
      </w:r>
    </w:p>
    <w:p>
      <w:pPr>
        <w:autoSpaceDE w:val="0"/>
        <w:autoSpaceDN w:val="0"/>
        <w:adjustRightInd w:val="0"/>
        <w:spacing w:line="360" w:lineRule="auto"/>
        <w:rPr>
          <w:rFonts w:ascii="黑体" w:hAnsi="TimesNewRomanPSMT" w:eastAsia="黑体" w:cs="黑体"/>
          <w:kern w:val="0"/>
          <w:sz w:val="28"/>
          <w:szCs w:val="28"/>
        </w:rPr>
      </w:pPr>
      <w:r>
        <w:rPr>
          <w:rFonts w:ascii="宋体" w:hAnsi="TimesNewRomanPSMT" w:cs="宋体"/>
          <w:kern w:val="0"/>
          <w:sz w:val="28"/>
          <w:szCs w:val="28"/>
        </w:rPr>
        <w:t xml:space="preserve">1.10 </w:t>
      </w:r>
      <w:r>
        <w:rPr>
          <w:rFonts w:hint="eastAsia" w:ascii="黑体" w:hAnsi="TimesNewRomanPSMT" w:eastAsia="黑体" w:cs="黑体"/>
          <w:kern w:val="0"/>
          <w:sz w:val="28"/>
          <w:szCs w:val="28"/>
        </w:rPr>
        <w:t>投标预备会</w:t>
      </w:r>
    </w:p>
    <w:p>
      <w:pPr>
        <w:autoSpaceDE w:val="0"/>
        <w:autoSpaceDN w:val="0"/>
        <w:adjustRightInd w:val="0"/>
        <w:spacing w:line="360" w:lineRule="auto"/>
        <w:ind w:firstLine="480" w:firstLineChars="200"/>
        <w:rPr>
          <w:rFonts w:ascii="宋体" w:hAnsi="宋体" w:cs="宋体"/>
          <w:kern w:val="0"/>
          <w:sz w:val="24"/>
        </w:rPr>
      </w:pPr>
      <w:r>
        <w:rPr>
          <w:rFonts w:ascii="宋体" w:hAnsi="宋体" w:cs="宋体"/>
          <w:kern w:val="0"/>
          <w:sz w:val="24"/>
        </w:rPr>
        <w:t xml:space="preserve">1.10.1 </w:t>
      </w:r>
      <w:r>
        <w:rPr>
          <w:rFonts w:hint="eastAsia" w:ascii="宋体" w:hAnsi="宋体" w:cs="宋体"/>
          <w:kern w:val="0"/>
          <w:sz w:val="24"/>
        </w:rPr>
        <w:t>投标人须知前附表规定召开投标预备会的，招标人按投标人须知前附表规定的时间和地点召开投标预备会，澄清投标人提出的问题。</w:t>
      </w:r>
    </w:p>
    <w:p>
      <w:pPr>
        <w:autoSpaceDE w:val="0"/>
        <w:autoSpaceDN w:val="0"/>
        <w:adjustRightInd w:val="0"/>
        <w:spacing w:line="360" w:lineRule="auto"/>
        <w:ind w:firstLine="480" w:firstLineChars="200"/>
        <w:rPr>
          <w:rFonts w:ascii="宋体" w:hAnsi="宋体" w:cs="宋体"/>
          <w:kern w:val="0"/>
          <w:sz w:val="24"/>
        </w:rPr>
      </w:pPr>
      <w:r>
        <w:rPr>
          <w:rFonts w:ascii="宋体" w:hAnsi="宋体" w:cs="宋体"/>
          <w:kern w:val="0"/>
          <w:sz w:val="24"/>
        </w:rPr>
        <w:t xml:space="preserve">1.10.2 </w:t>
      </w:r>
      <w:r>
        <w:rPr>
          <w:rFonts w:hint="eastAsia" w:ascii="宋体" w:hAnsi="宋体" w:cs="宋体"/>
          <w:kern w:val="0"/>
          <w:sz w:val="24"/>
        </w:rPr>
        <w:t>投标人应在投标人须知前附表规定的时间前，以书面形式将提出的问题送达招标人，以便招标人在会议期间澄清。</w:t>
      </w:r>
    </w:p>
    <w:p>
      <w:pPr>
        <w:tabs>
          <w:tab w:val="left" w:pos="360"/>
          <w:tab w:val="left" w:pos="540"/>
          <w:tab w:val="left" w:pos="900"/>
          <w:tab w:val="left" w:pos="1080"/>
        </w:tabs>
        <w:spacing w:line="360" w:lineRule="auto"/>
        <w:ind w:firstLine="480" w:firstLineChars="200"/>
        <w:rPr>
          <w:rFonts w:ascii="宋体" w:hAnsi="宋体" w:cs="宋体"/>
          <w:kern w:val="0"/>
          <w:sz w:val="24"/>
        </w:rPr>
      </w:pPr>
      <w:r>
        <w:rPr>
          <w:rFonts w:ascii="宋体" w:hAnsi="宋体" w:cs="宋体"/>
          <w:kern w:val="0"/>
          <w:sz w:val="24"/>
        </w:rPr>
        <w:t xml:space="preserve">1.10.3 </w:t>
      </w:r>
      <w:r>
        <w:rPr>
          <w:rFonts w:hint="eastAsia" w:ascii="宋体" w:hAnsi="宋体" w:cs="宋体"/>
          <w:kern w:val="0"/>
          <w:sz w:val="24"/>
        </w:rPr>
        <w:t>投标预备会后，招标人在投标人须知前附表规定的时间内，将对投标人所提问题的澄清，以书面方式通知所有购买招标文件的投标人。该澄清内容为招标文件的组成部分。</w:t>
      </w:r>
    </w:p>
    <w:p>
      <w:pPr>
        <w:autoSpaceDE w:val="0"/>
        <w:autoSpaceDN w:val="0"/>
        <w:adjustRightInd w:val="0"/>
        <w:spacing w:line="360" w:lineRule="auto"/>
        <w:rPr>
          <w:rFonts w:ascii="黑体" w:eastAsia="黑体" w:cs="黑体"/>
          <w:kern w:val="0"/>
          <w:sz w:val="28"/>
          <w:szCs w:val="28"/>
        </w:rPr>
      </w:pPr>
      <w:r>
        <w:rPr>
          <w:rFonts w:ascii="TimesNewRomanPSMT" w:hAnsi="TimesNewRomanPSMT" w:cs="TimesNewRomanPSMT"/>
          <w:kern w:val="0"/>
          <w:sz w:val="28"/>
          <w:szCs w:val="28"/>
        </w:rPr>
        <w:t xml:space="preserve">1.11 </w:t>
      </w:r>
      <w:r>
        <w:rPr>
          <w:rFonts w:hint="eastAsia" w:ascii="黑体" w:eastAsia="黑体" w:cs="黑体"/>
          <w:kern w:val="0"/>
          <w:sz w:val="28"/>
          <w:szCs w:val="28"/>
        </w:rPr>
        <w:t>分包</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投标人拟在中标后将中标项目的部分非主体、非关键性工作进行分包的，应符合投标</w:t>
      </w:r>
    </w:p>
    <w:p>
      <w:pPr>
        <w:autoSpaceDE w:val="0"/>
        <w:autoSpaceDN w:val="0"/>
        <w:adjustRightInd w:val="0"/>
        <w:spacing w:line="360" w:lineRule="auto"/>
        <w:rPr>
          <w:rFonts w:ascii="宋体" w:cs="宋体"/>
          <w:kern w:val="0"/>
          <w:sz w:val="24"/>
        </w:rPr>
      </w:pPr>
      <w:r>
        <w:rPr>
          <w:rFonts w:hint="eastAsia" w:ascii="宋体" w:cs="宋体"/>
          <w:kern w:val="0"/>
          <w:sz w:val="24"/>
        </w:rPr>
        <w:t>人须知前附表规定的分包内容、分包金额和接受分包的第三人资质要求等限制性条件。</w:t>
      </w:r>
    </w:p>
    <w:p>
      <w:pPr>
        <w:autoSpaceDE w:val="0"/>
        <w:autoSpaceDN w:val="0"/>
        <w:adjustRightInd w:val="0"/>
        <w:spacing w:line="360" w:lineRule="auto"/>
        <w:rPr>
          <w:rFonts w:ascii="黑体" w:eastAsia="黑体" w:cs="黑体"/>
          <w:kern w:val="0"/>
          <w:sz w:val="28"/>
          <w:szCs w:val="28"/>
        </w:rPr>
      </w:pPr>
      <w:r>
        <w:rPr>
          <w:rFonts w:ascii="TimesNewRomanPSMT" w:hAnsi="TimesNewRomanPSMT" w:cs="TimesNewRomanPSMT"/>
          <w:kern w:val="0"/>
          <w:sz w:val="28"/>
          <w:szCs w:val="28"/>
        </w:rPr>
        <w:t xml:space="preserve">1.12 </w:t>
      </w:r>
      <w:r>
        <w:rPr>
          <w:rFonts w:hint="eastAsia" w:ascii="黑体" w:eastAsia="黑体" w:cs="黑体"/>
          <w:kern w:val="0"/>
          <w:sz w:val="28"/>
          <w:szCs w:val="28"/>
        </w:rPr>
        <w:t>偏离</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投标人须知前附表允许投标文件偏离招标文件某些要求的，偏离应当符合招标文件规定的偏离范围和幅度。</w:t>
      </w:r>
    </w:p>
    <w:p>
      <w:pPr>
        <w:autoSpaceDE w:val="0"/>
        <w:autoSpaceDN w:val="0"/>
        <w:adjustRightInd w:val="0"/>
        <w:spacing w:line="360" w:lineRule="auto"/>
        <w:rPr>
          <w:rFonts w:ascii="黑体" w:eastAsia="黑体" w:cs="黑体"/>
          <w:kern w:val="0"/>
          <w:sz w:val="30"/>
          <w:szCs w:val="30"/>
        </w:rPr>
      </w:pPr>
      <w:r>
        <w:rPr>
          <w:rFonts w:ascii="TimesNewRomanPSMT" w:hAnsi="TimesNewRomanPSMT" w:cs="TimesNewRomanPSMT"/>
          <w:kern w:val="0"/>
          <w:sz w:val="30"/>
          <w:szCs w:val="30"/>
        </w:rPr>
        <w:t xml:space="preserve">2. </w:t>
      </w:r>
      <w:r>
        <w:rPr>
          <w:rFonts w:hint="eastAsia" w:ascii="黑体" w:eastAsia="黑体" w:cs="黑体"/>
          <w:kern w:val="0"/>
          <w:sz w:val="30"/>
          <w:szCs w:val="30"/>
        </w:rPr>
        <w:t>招标文件</w:t>
      </w:r>
    </w:p>
    <w:p>
      <w:pPr>
        <w:autoSpaceDE w:val="0"/>
        <w:autoSpaceDN w:val="0"/>
        <w:adjustRightInd w:val="0"/>
        <w:spacing w:line="360" w:lineRule="auto"/>
        <w:rPr>
          <w:rFonts w:ascii="黑体" w:eastAsia="黑体" w:cs="黑体"/>
          <w:kern w:val="0"/>
          <w:sz w:val="28"/>
          <w:szCs w:val="28"/>
        </w:rPr>
      </w:pPr>
      <w:r>
        <w:rPr>
          <w:rFonts w:ascii="TimesNewRomanPSMT" w:hAnsi="TimesNewRomanPSMT" w:cs="TimesNewRomanPSMT"/>
          <w:kern w:val="0"/>
          <w:sz w:val="28"/>
          <w:szCs w:val="28"/>
        </w:rPr>
        <w:t xml:space="preserve">2.1 </w:t>
      </w:r>
      <w:r>
        <w:rPr>
          <w:rFonts w:hint="eastAsia" w:ascii="黑体" w:eastAsia="黑体" w:cs="黑体"/>
          <w:kern w:val="0"/>
          <w:sz w:val="28"/>
          <w:szCs w:val="28"/>
        </w:rPr>
        <w:t>招标文件的组成</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本招标文件包括：</w:t>
      </w:r>
    </w:p>
    <w:p>
      <w:pPr>
        <w:autoSpaceDE w:val="0"/>
        <w:autoSpaceDN w:val="0"/>
        <w:adjustRightInd w:val="0"/>
        <w:spacing w:line="360" w:lineRule="auto"/>
        <w:ind w:firstLine="960" w:firstLineChars="400"/>
        <w:rPr>
          <w:rFonts w:ascii="宋体" w:cs="宋体"/>
          <w:kern w:val="0"/>
          <w:sz w:val="24"/>
        </w:rPr>
      </w:pPr>
      <w:r>
        <w:rPr>
          <w:rFonts w:hint="eastAsia" w:ascii="宋体" w:cs="宋体"/>
          <w:kern w:val="0"/>
          <w:sz w:val="24"/>
        </w:rPr>
        <w:t>（</w:t>
      </w:r>
      <w:r>
        <w:rPr>
          <w:rFonts w:ascii="TimesNewRomanPSMT" w:hAnsi="TimesNewRomanPSMT" w:cs="TimesNewRomanPSMT"/>
          <w:kern w:val="0"/>
          <w:sz w:val="24"/>
        </w:rPr>
        <w:t>1</w:t>
      </w:r>
      <w:r>
        <w:rPr>
          <w:rFonts w:hint="eastAsia" w:ascii="宋体" w:cs="宋体"/>
          <w:kern w:val="0"/>
          <w:sz w:val="24"/>
        </w:rPr>
        <w:t>）招标公告（或投标邀请书）；</w:t>
      </w:r>
    </w:p>
    <w:p>
      <w:pPr>
        <w:autoSpaceDE w:val="0"/>
        <w:autoSpaceDN w:val="0"/>
        <w:adjustRightInd w:val="0"/>
        <w:spacing w:line="360" w:lineRule="auto"/>
        <w:ind w:firstLine="960" w:firstLineChars="400"/>
        <w:rPr>
          <w:rFonts w:ascii="宋体" w:cs="宋体"/>
          <w:kern w:val="0"/>
          <w:sz w:val="24"/>
        </w:rPr>
      </w:pPr>
      <w:r>
        <w:rPr>
          <w:rFonts w:hint="eastAsia" w:ascii="宋体" w:cs="宋体"/>
          <w:kern w:val="0"/>
          <w:sz w:val="24"/>
        </w:rPr>
        <w:t>（</w:t>
      </w:r>
      <w:r>
        <w:rPr>
          <w:rFonts w:ascii="TimesNewRomanPSMT" w:hAnsi="TimesNewRomanPSMT" w:cs="TimesNewRomanPSMT"/>
          <w:kern w:val="0"/>
          <w:sz w:val="24"/>
        </w:rPr>
        <w:t>2</w:t>
      </w:r>
      <w:r>
        <w:rPr>
          <w:rFonts w:hint="eastAsia" w:ascii="宋体" w:cs="宋体"/>
          <w:kern w:val="0"/>
          <w:sz w:val="24"/>
        </w:rPr>
        <w:t>）投标人须知；</w:t>
      </w:r>
    </w:p>
    <w:p>
      <w:pPr>
        <w:autoSpaceDE w:val="0"/>
        <w:autoSpaceDN w:val="0"/>
        <w:adjustRightInd w:val="0"/>
        <w:spacing w:line="360" w:lineRule="auto"/>
        <w:ind w:firstLine="960" w:firstLineChars="400"/>
        <w:rPr>
          <w:rFonts w:ascii="宋体" w:cs="宋体"/>
          <w:kern w:val="0"/>
          <w:sz w:val="24"/>
        </w:rPr>
      </w:pPr>
      <w:r>
        <w:rPr>
          <w:rFonts w:hint="eastAsia" w:ascii="宋体" w:cs="宋体"/>
          <w:kern w:val="0"/>
          <w:sz w:val="24"/>
        </w:rPr>
        <w:t>（</w:t>
      </w:r>
      <w:r>
        <w:rPr>
          <w:rFonts w:ascii="TimesNewRomanPSMT" w:hAnsi="TimesNewRomanPSMT" w:cs="TimesNewRomanPSMT"/>
          <w:kern w:val="0"/>
          <w:sz w:val="24"/>
        </w:rPr>
        <w:t>3</w:t>
      </w:r>
      <w:r>
        <w:rPr>
          <w:rFonts w:hint="eastAsia" w:ascii="宋体" w:cs="宋体"/>
          <w:kern w:val="0"/>
          <w:sz w:val="24"/>
        </w:rPr>
        <w:t>）评标办法；</w:t>
      </w:r>
    </w:p>
    <w:p>
      <w:pPr>
        <w:autoSpaceDE w:val="0"/>
        <w:autoSpaceDN w:val="0"/>
        <w:adjustRightInd w:val="0"/>
        <w:spacing w:line="360" w:lineRule="auto"/>
        <w:ind w:firstLine="960" w:firstLineChars="400"/>
        <w:jc w:val="left"/>
        <w:rPr>
          <w:rFonts w:ascii="宋体" w:cs="宋体"/>
          <w:kern w:val="0"/>
          <w:sz w:val="24"/>
        </w:rPr>
      </w:pPr>
      <w:r>
        <w:rPr>
          <w:rFonts w:hint="eastAsia" w:ascii="宋体" w:cs="宋体"/>
          <w:kern w:val="0"/>
          <w:sz w:val="24"/>
        </w:rPr>
        <w:t>（</w:t>
      </w:r>
      <w:r>
        <w:rPr>
          <w:rFonts w:ascii="TimesNewRomanPSMT" w:hAnsi="TimesNewRomanPSMT" w:cs="TimesNewRomanPSMT"/>
          <w:kern w:val="0"/>
          <w:sz w:val="24"/>
        </w:rPr>
        <w:t>4</w:t>
      </w:r>
      <w:r>
        <w:rPr>
          <w:rFonts w:hint="eastAsia" w:ascii="宋体" w:cs="宋体"/>
          <w:kern w:val="0"/>
          <w:sz w:val="24"/>
        </w:rPr>
        <w:t>）合同条款及格式；</w:t>
      </w:r>
    </w:p>
    <w:p>
      <w:pPr>
        <w:autoSpaceDE w:val="0"/>
        <w:autoSpaceDN w:val="0"/>
        <w:adjustRightInd w:val="0"/>
        <w:spacing w:line="360" w:lineRule="auto"/>
        <w:ind w:firstLine="960" w:firstLineChars="400"/>
        <w:jc w:val="left"/>
        <w:rPr>
          <w:rFonts w:ascii="宋体" w:cs="宋体"/>
          <w:kern w:val="0"/>
          <w:sz w:val="24"/>
        </w:rPr>
      </w:pPr>
      <w:r>
        <w:rPr>
          <w:rFonts w:hint="eastAsia" w:ascii="宋体" w:cs="宋体"/>
          <w:kern w:val="0"/>
          <w:sz w:val="24"/>
        </w:rPr>
        <w:t>（</w:t>
      </w:r>
      <w:r>
        <w:rPr>
          <w:rFonts w:hint="eastAsia" w:ascii="TimesNewRomanPSMT" w:hAnsi="TimesNewRomanPSMT" w:cs="TimesNewRomanPSMT"/>
          <w:kern w:val="0"/>
          <w:sz w:val="24"/>
        </w:rPr>
        <w:t>5</w:t>
      </w:r>
      <w:r>
        <w:rPr>
          <w:rFonts w:hint="eastAsia" w:ascii="宋体" w:cs="宋体"/>
          <w:kern w:val="0"/>
          <w:sz w:val="24"/>
        </w:rPr>
        <w:t>）技术标准和要求；</w:t>
      </w:r>
    </w:p>
    <w:p>
      <w:pPr>
        <w:autoSpaceDE w:val="0"/>
        <w:autoSpaceDN w:val="0"/>
        <w:adjustRightInd w:val="0"/>
        <w:spacing w:line="360" w:lineRule="auto"/>
        <w:ind w:firstLine="960" w:firstLineChars="400"/>
        <w:jc w:val="left"/>
        <w:rPr>
          <w:rFonts w:ascii="宋体" w:cs="宋体"/>
          <w:kern w:val="0"/>
          <w:sz w:val="24"/>
        </w:rPr>
      </w:pPr>
      <w:r>
        <w:rPr>
          <w:rFonts w:hint="eastAsia" w:ascii="宋体" w:cs="宋体"/>
          <w:kern w:val="0"/>
          <w:sz w:val="24"/>
        </w:rPr>
        <w:t>（</w:t>
      </w:r>
      <w:r>
        <w:rPr>
          <w:rFonts w:hint="eastAsia" w:ascii="TimesNewRomanPSMT" w:hAnsi="TimesNewRomanPSMT" w:cs="TimesNewRomanPSMT"/>
          <w:kern w:val="0"/>
          <w:sz w:val="24"/>
        </w:rPr>
        <w:t>6</w:t>
      </w:r>
      <w:r>
        <w:rPr>
          <w:rFonts w:hint="eastAsia" w:ascii="宋体" w:cs="宋体"/>
          <w:kern w:val="0"/>
          <w:sz w:val="24"/>
        </w:rPr>
        <w:t>）投标文件格式；</w:t>
      </w:r>
    </w:p>
    <w:p>
      <w:pPr>
        <w:autoSpaceDE w:val="0"/>
        <w:autoSpaceDN w:val="0"/>
        <w:adjustRightInd w:val="0"/>
        <w:spacing w:line="360" w:lineRule="auto"/>
        <w:ind w:firstLine="960" w:firstLineChars="400"/>
        <w:jc w:val="left"/>
        <w:rPr>
          <w:rFonts w:ascii="宋体" w:cs="宋体"/>
          <w:kern w:val="0"/>
          <w:sz w:val="24"/>
        </w:rPr>
      </w:pPr>
      <w:r>
        <w:rPr>
          <w:rFonts w:hint="eastAsia" w:ascii="宋体" w:cs="宋体"/>
          <w:kern w:val="0"/>
          <w:sz w:val="24"/>
        </w:rPr>
        <w:t>（</w:t>
      </w:r>
      <w:r>
        <w:rPr>
          <w:rFonts w:hint="eastAsia" w:ascii="TimesNewRomanPSMT" w:hAnsi="TimesNewRomanPSMT" w:cs="TimesNewRomanPSMT"/>
          <w:kern w:val="0"/>
          <w:sz w:val="24"/>
        </w:rPr>
        <w:t>7</w:t>
      </w:r>
      <w:r>
        <w:rPr>
          <w:rFonts w:hint="eastAsia" w:ascii="宋体" w:cs="宋体"/>
          <w:kern w:val="0"/>
          <w:sz w:val="24"/>
        </w:rPr>
        <w:t>）投标人须知前附表规定的其他材料。</w:t>
      </w:r>
    </w:p>
    <w:p>
      <w:pPr>
        <w:autoSpaceDE w:val="0"/>
        <w:autoSpaceDN w:val="0"/>
        <w:adjustRightInd w:val="0"/>
        <w:spacing w:line="360" w:lineRule="auto"/>
        <w:ind w:firstLine="480" w:firstLineChars="200"/>
        <w:rPr>
          <w:rFonts w:ascii="宋体" w:cs="宋体"/>
          <w:kern w:val="0"/>
          <w:sz w:val="24"/>
        </w:rPr>
      </w:pPr>
      <w:r>
        <w:rPr>
          <w:rFonts w:hint="eastAsia" w:ascii="宋体" w:cs="宋体"/>
          <w:kern w:val="0"/>
          <w:sz w:val="24"/>
        </w:rPr>
        <w:t>根据本章第</w:t>
      </w:r>
      <w:r>
        <w:rPr>
          <w:rFonts w:ascii="TimesNewRomanPSMT" w:hAnsi="TimesNewRomanPSMT" w:cs="TimesNewRomanPSMT"/>
          <w:kern w:val="0"/>
          <w:sz w:val="24"/>
        </w:rPr>
        <w:t xml:space="preserve">1.10 </w:t>
      </w:r>
      <w:r>
        <w:rPr>
          <w:rFonts w:hint="eastAsia" w:ascii="宋体" w:cs="宋体"/>
          <w:kern w:val="0"/>
          <w:sz w:val="24"/>
        </w:rPr>
        <w:t>款、第</w:t>
      </w:r>
      <w:r>
        <w:rPr>
          <w:rFonts w:ascii="TimesNewRomanPSMT" w:hAnsi="TimesNewRomanPSMT" w:cs="TimesNewRomanPSMT"/>
          <w:kern w:val="0"/>
          <w:sz w:val="24"/>
        </w:rPr>
        <w:t xml:space="preserve">2.2 </w:t>
      </w:r>
      <w:r>
        <w:rPr>
          <w:rFonts w:hint="eastAsia" w:ascii="宋体" w:cs="宋体"/>
          <w:kern w:val="0"/>
          <w:sz w:val="24"/>
        </w:rPr>
        <w:t>款和第</w:t>
      </w:r>
      <w:r>
        <w:rPr>
          <w:rFonts w:ascii="TimesNewRomanPSMT" w:hAnsi="TimesNewRomanPSMT" w:cs="TimesNewRomanPSMT"/>
          <w:kern w:val="0"/>
          <w:sz w:val="24"/>
        </w:rPr>
        <w:t xml:space="preserve">2.3 </w:t>
      </w:r>
      <w:r>
        <w:rPr>
          <w:rFonts w:hint="eastAsia" w:ascii="宋体" w:cs="宋体"/>
          <w:kern w:val="0"/>
          <w:sz w:val="24"/>
        </w:rPr>
        <w:t>款对招标文件所作的澄清、修改，构成招标文件的组成部分。</w:t>
      </w:r>
    </w:p>
    <w:p>
      <w:pPr>
        <w:autoSpaceDE w:val="0"/>
        <w:autoSpaceDN w:val="0"/>
        <w:adjustRightInd w:val="0"/>
        <w:spacing w:line="360" w:lineRule="auto"/>
        <w:jc w:val="left"/>
        <w:rPr>
          <w:rFonts w:ascii="黑体" w:eastAsia="黑体" w:cs="黑体"/>
          <w:kern w:val="0"/>
          <w:sz w:val="28"/>
          <w:szCs w:val="28"/>
        </w:rPr>
      </w:pPr>
      <w:r>
        <w:rPr>
          <w:rFonts w:ascii="TimesNewRomanPSMT" w:hAnsi="TimesNewRomanPSMT" w:cs="TimesNewRomanPSMT"/>
          <w:kern w:val="0"/>
          <w:sz w:val="28"/>
          <w:szCs w:val="28"/>
        </w:rPr>
        <w:t xml:space="preserve">2.2 </w:t>
      </w:r>
      <w:r>
        <w:rPr>
          <w:rFonts w:hint="eastAsia" w:ascii="黑体" w:eastAsia="黑体" w:cs="黑体"/>
          <w:kern w:val="0"/>
          <w:sz w:val="28"/>
          <w:szCs w:val="28"/>
        </w:rPr>
        <w:t>招标文件的澄清</w:t>
      </w:r>
    </w:p>
    <w:p>
      <w:pPr>
        <w:autoSpaceDE w:val="0"/>
        <w:autoSpaceDN w:val="0"/>
        <w:adjustRightInd w:val="0"/>
        <w:spacing w:line="360" w:lineRule="auto"/>
        <w:ind w:firstLine="480" w:firstLineChars="200"/>
        <w:rPr>
          <w:rFonts w:ascii="宋体" w:hAnsi="宋体" w:cs="宋体"/>
          <w:kern w:val="0"/>
          <w:sz w:val="24"/>
        </w:rPr>
      </w:pPr>
      <w:r>
        <w:rPr>
          <w:rFonts w:ascii="宋体" w:hAnsi="宋体" w:cs="TimesNewRomanPSMT"/>
          <w:kern w:val="0"/>
          <w:sz w:val="24"/>
        </w:rPr>
        <w:t xml:space="preserve">2.2.1 </w:t>
      </w:r>
      <w:r>
        <w:rPr>
          <w:rFonts w:hint="eastAsia" w:ascii="宋体" w:hAnsi="宋体" w:cs="宋体"/>
          <w:kern w:val="0"/>
          <w:sz w:val="24"/>
        </w:rPr>
        <w:t>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utoSpaceDE w:val="0"/>
        <w:autoSpaceDN w:val="0"/>
        <w:adjustRightInd w:val="0"/>
        <w:spacing w:line="360" w:lineRule="auto"/>
        <w:ind w:firstLine="480" w:firstLineChars="200"/>
        <w:rPr>
          <w:rFonts w:ascii="宋体" w:hAnsi="宋体" w:cs="宋体"/>
          <w:kern w:val="0"/>
          <w:sz w:val="24"/>
        </w:rPr>
      </w:pPr>
      <w:r>
        <w:rPr>
          <w:rFonts w:ascii="宋体" w:hAnsi="宋体" w:cs="TimesNewRomanPSMT"/>
          <w:kern w:val="0"/>
          <w:sz w:val="24"/>
        </w:rPr>
        <w:t xml:space="preserve">2.2.2 </w:t>
      </w:r>
      <w:r>
        <w:rPr>
          <w:rFonts w:hint="eastAsia" w:ascii="宋体" w:hAnsi="宋体" w:cs="宋体"/>
          <w:kern w:val="0"/>
          <w:sz w:val="24"/>
        </w:rPr>
        <w:t>招标文件的澄清将在投标人须知前附表规定的投标截止时间</w:t>
      </w:r>
      <w:r>
        <w:rPr>
          <w:rFonts w:ascii="宋体" w:hAnsi="宋体" w:cs="TimesNewRomanPSMT"/>
          <w:kern w:val="0"/>
          <w:sz w:val="24"/>
        </w:rPr>
        <w:t xml:space="preserve">15 </w:t>
      </w:r>
      <w:r>
        <w:rPr>
          <w:rFonts w:hint="eastAsia" w:ascii="宋体" w:hAnsi="宋体" w:cs="宋体"/>
          <w:kern w:val="0"/>
          <w:sz w:val="24"/>
        </w:rPr>
        <w:t>天前以书面形式发给所有购买招标文件的投标人，但不指明澄清问题的来源。如果澄清发出的时间距投标截止时间不足</w:t>
      </w:r>
      <w:r>
        <w:rPr>
          <w:rFonts w:ascii="宋体" w:hAnsi="宋体" w:cs="TimesNewRomanPSMT"/>
          <w:kern w:val="0"/>
          <w:sz w:val="24"/>
        </w:rPr>
        <w:t xml:space="preserve">15 </w:t>
      </w:r>
      <w:r>
        <w:rPr>
          <w:rFonts w:hint="eastAsia" w:ascii="宋体" w:hAnsi="宋体" w:cs="宋体"/>
          <w:kern w:val="0"/>
          <w:sz w:val="24"/>
        </w:rPr>
        <w:t>天，相应延长投标截止时间。</w:t>
      </w:r>
    </w:p>
    <w:p>
      <w:pPr>
        <w:autoSpaceDE w:val="0"/>
        <w:autoSpaceDN w:val="0"/>
        <w:adjustRightInd w:val="0"/>
        <w:spacing w:line="360" w:lineRule="auto"/>
        <w:ind w:firstLine="480" w:firstLineChars="200"/>
        <w:rPr>
          <w:rFonts w:ascii="宋体" w:hAnsi="宋体" w:cs="宋体"/>
          <w:kern w:val="0"/>
          <w:sz w:val="24"/>
        </w:rPr>
      </w:pPr>
      <w:r>
        <w:rPr>
          <w:rFonts w:ascii="宋体" w:hAnsi="宋体" w:cs="TimesNewRomanPSMT"/>
          <w:kern w:val="0"/>
          <w:sz w:val="24"/>
        </w:rPr>
        <w:t xml:space="preserve">2.2.3 </w:t>
      </w:r>
      <w:r>
        <w:rPr>
          <w:rFonts w:hint="eastAsia" w:ascii="宋体" w:hAnsi="宋体" w:cs="宋体"/>
          <w:kern w:val="0"/>
          <w:sz w:val="24"/>
        </w:rPr>
        <w:t>投标人在收到澄清后，应在投标人须知前附表规定的时间内以书面形式通知招标人，确认已收到该澄清。</w:t>
      </w:r>
    </w:p>
    <w:p>
      <w:pPr>
        <w:autoSpaceDE w:val="0"/>
        <w:autoSpaceDN w:val="0"/>
        <w:adjustRightInd w:val="0"/>
        <w:spacing w:line="360" w:lineRule="auto"/>
        <w:rPr>
          <w:rFonts w:ascii="黑体" w:eastAsia="黑体" w:cs="黑体"/>
          <w:kern w:val="0"/>
          <w:sz w:val="28"/>
          <w:szCs w:val="28"/>
        </w:rPr>
      </w:pPr>
      <w:r>
        <w:rPr>
          <w:rFonts w:ascii="TimesNewRomanPSMT" w:hAnsi="TimesNewRomanPSMT" w:cs="TimesNewRomanPSMT"/>
          <w:kern w:val="0"/>
          <w:sz w:val="28"/>
          <w:szCs w:val="28"/>
        </w:rPr>
        <w:t xml:space="preserve">2.3 </w:t>
      </w:r>
      <w:r>
        <w:rPr>
          <w:rFonts w:hint="eastAsia" w:ascii="黑体" w:eastAsia="黑体" w:cs="黑体"/>
          <w:kern w:val="0"/>
          <w:sz w:val="28"/>
          <w:szCs w:val="28"/>
        </w:rPr>
        <w:t>招标文件的修改</w:t>
      </w:r>
    </w:p>
    <w:p>
      <w:pPr>
        <w:autoSpaceDE w:val="0"/>
        <w:autoSpaceDN w:val="0"/>
        <w:adjustRightInd w:val="0"/>
        <w:spacing w:line="360" w:lineRule="auto"/>
        <w:ind w:firstLine="480" w:firstLineChars="200"/>
        <w:rPr>
          <w:rFonts w:ascii="宋体" w:cs="宋体"/>
          <w:kern w:val="0"/>
          <w:sz w:val="24"/>
        </w:rPr>
      </w:pPr>
      <w:r>
        <w:rPr>
          <w:rFonts w:ascii="宋体" w:hAnsi="宋体" w:cs="TimesNewRomanPSMT"/>
          <w:kern w:val="0"/>
          <w:sz w:val="24"/>
        </w:rPr>
        <w:t xml:space="preserve">2.3.1 </w:t>
      </w:r>
      <w:r>
        <w:rPr>
          <w:rFonts w:hint="eastAsia" w:ascii="宋体" w:hAnsi="宋体" w:cs="宋体"/>
          <w:kern w:val="0"/>
          <w:sz w:val="24"/>
        </w:rPr>
        <w:t>在投标截止时间</w:t>
      </w:r>
      <w:r>
        <w:rPr>
          <w:rFonts w:ascii="宋体" w:hAnsi="宋体" w:cs="TimesNewRomanPSMT"/>
          <w:kern w:val="0"/>
          <w:sz w:val="24"/>
        </w:rPr>
        <w:t>15</w:t>
      </w:r>
      <w:r>
        <w:rPr>
          <w:rFonts w:hint="eastAsia" w:ascii="宋体" w:hAnsi="宋体" w:cs="宋体"/>
          <w:kern w:val="0"/>
          <w:sz w:val="24"/>
        </w:rPr>
        <w:t>天前，招标人可以书面形式修改招标文件，并通知所有已购买招标文件的投标人。如果修改招标文件的时间距投标截止时间不足</w:t>
      </w:r>
      <w:r>
        <w:rPr>
          <w:rFonts w:ascii="宋体" w:hAnsi="宋体" w:cs="TimesNewRomanPSMT"/>
          <w:kern w:val="0"/>
          <w:sz w:val="24"/>
        </w:rPr>
        <w:t xml:space="preserve">15 </w:t>
      </w:r>
      <w:r>
        <w:rPr>
          <w:rFonts w:hint="eastAsia" w:ascii="宋体" w:hAnsi="宋体" w:cs="宋体"/>
          <w:kern w:val="0"/>
          <w:sz w:val="24"/>
        </w:rPr>
        <w:t>天，相应延长投标截</w:t>
      </w:r>
      <w:r>
        <w:rPr>
          <w:rFonts w:hint="eastAsia" w:ascii="宋体" w:cs="宋体"/>
          <w:kern w:val="0"/>
          <w:sz w:val="24"/>
        </w:rPr>
        <w:t>止时间。</w:t>
      </w:r>
    </w:p>
    <w:p>
      <w:pPr>
        <w:autoSpaceDE w:val="0"/>
        <w:autoSpaceDN w:val="0"/>
        <w:adjustRightInd w:val="0"/>
        <w:spacing w:line="360" w:lineRule="auto"/>
        <w:ind w:firstLine="480" w:firstLineChars="200"/>
        <w:rPr>
          <w:rFonts w:ascii="宋体" w:hAnsi="宋体" w:cs="宋体"/>
          <w:kern w:val="0"/>
          <w:sz w:val="24"/>
        </w:rPr>
      </w:pPr>
      <w:r>
        <w:rPr>
          <w:rFonts w:ascii="宋体" w:hAnsi="宋体" w:cs="TimesNewRomanPSMT"/>
          <w:kern w:val="0"/>
          <w:sz w:val="24"/>
        </w:rPr>
        <w:t xml:space="preserve">2.3.2 </w:t>
      </w:r>
      <w:r>
        <w:rPr>
          <w:rFonts w:hint="eastAsia" w:ascii="宋体" w:hAnsi="宋体" w:cs="宋体"/>
          <w:kern w:val="0"/>
          <w:sz w:val="24"/>
        </w:rPr>
        <w:t>投标人收到修改内容后，应在投标人须知前附表规定的时间内以书面形式通知招标人，确认已收到该修改。</w:t>
      </w:r>
    </w:p>
    <w:p>
      <w:pPr>
        <w:autoSpaceDE w:val="0"/>
        <w:autoSpaceDN w:val="0"/>
        <w:adjustRightInd w:val="0"/>
        <w:spacing w:line="360" w:lineRule="auto"/>
        <w:rPr>
          <w:rFonts w:ascii="黑体" w:eastAsia="黑体" w:cs="黑体"/>
          <w:kern w:val="0"/>
          <w:sz w:val="30"/>
          <w:szCs w:val="30"/>
        </w:rPr>
      </w:pPr>
      <w:r>
        <w:rPr>
          <w:rFonts w:ascii="TimesNewRomanPSMT" w:hAnsi="TimesNewRomanPSMT" w:cs="TimesNewRomanPSMT"/>
          <w:kern w:val="0"/>
          <w:sz w:val="30"/>
          <w:szCs w:val="30"/>
        </w:rPr>
        <w:t xml:space="preserve">3. </w:t>
      </w:r>
      <w:r>
        <w:rPr>
          <w:rFonts w:hint="eastAsia" w:ascii="黑体" w:eastAsia="黑体" w:cs="黑体"/>
          <w:kern w:val="0"/>
          <w:sz w:val="30"/>
          <w:szCs w:val="30"/>
        </w:rPr>
        <w:t>投标文件</w:t>
      </w:r>
    </w:p>
    <w:p>
      <w:pPr>
        <w:autoSpaceDE w:val="0"/>
        <w:autoSpaceDN w:val="0"/>
        <w:adjustRightInd w:val="0"/>
        <w:spacing w:line="360" w:lineRule="auto"/>
        <w:rPr>
          <w:rFonts w:ascii="黑体" w:eastAsia="黑体" w:cs="黑体"/>
          <w:kern w:val="0"/>
          <w:sz w:val="28"/>
          <w:szCs w:val="28"/>
        </w:rPr>
      </w:pPr>
      <w:r>
        <w:rPr>
          <w:rFonts w:ascii="TimesNewRomanPSMT" w:hAnsi="TimesNewRomanPSMT" w:cs="TimesNewRomanPSMT"/>
          <w:kern w:val="0"/>
          <w:sz w:val="28"/>
          <w:szCs w:val="28"/>
        </w:rPr>
        <w:t xml:space="preserve">3.1 </w:t>
      </w:r>
      <w:r>
        <w:rPr>
          <w:rFonts w:hint="eastAsia" w:ascii="黑体" w:eastAsia="黑体" w:cs="黑体"/>
          <w:kern w:val="0"/>
          <w:sz w:val="28"/>
          <w:szCs w:val="28"/>
        </w:rPr>
        <w:t>投标文件的组成</w:t>
      </w:r>
    </w:p>
    <w:p>
      <w:pPr>
        <w:autoSpaceDE w:val="0"/>
        <w:autoSpaceDN w:val="0"/>
        <w:adjustRightInd w:val="0"/>
        <w:spacing w:line="360" w:lineRule="auto"/>
        <w:ind w:firstLine="480" w:firstLineChars="200"/>
        <w:rPr>
          <w:rFonts w:ascii="宋体" w:cs="宋体"/>
          <w:kern w:val="0"/>
          <w:sz w:val="24"/>
        </w:rPr>
      </w:pPr>
      <w:r>
        <w:rPr>
          <w:rFonts w:ascii="TimesNewRomanPSMT" w:hAnsi="TimesNewRomanPSMT" w:cs="TimesNewRomanPSMT"/>
          <w:kern w:val="0"/>
          <w:sz w:val="24"/>
        </w:rPr>
        <w:t xml:space="preserve">3.1.1 </w:t>
      </w:r>
      <w:r>
        <w:rPr>
          <w:rFonts w:hint="eastAsia" w:ascii="宋体" w:cs="宋体"/>
          <w:kern w:val="0"/>
          <w:sz w:val="24"/>
        </w:rPr>
        <w:t>投标文件应包括下列内容：</w:t>
      </w:r>
    </w:p>
    <w:p>
      <w:pPr>
        <w:autoSpaceDE w:val="0"/>
        <w:autoSpaceDN w:val="0"/>
        <w:adjustRightInd w:val="0"/>
        <w:spacing w:line="360" w:lineRule="auto"/>
        <w:ind w:firstLine="960" w:firstLineChars="400"/>
        <w:rPr>
          <w:rFonts w:ascii="宋体" w:hAnsi="宋体" w:cs="宋体"/>
          <w:kern w:val="0"/>
          <w:sz w:val="24"/>
        </w:rPr>
      </w:pPr>
      <w:r>
        <w:rPr>
          <w:rFonts w:hint="eastAsia" w:ascii="宋体" w:hAnsi="宋体" w:cs="宋体"/>
          <w:kern w:val="0"/>
          <w:sz w:val="24"/>
        </w:rPr>
        <w:t>（1）投标函及投标函附录</w:t>
      </w:r>
    </w:p>
    <w:p>
      <w:pPr>
        <w:autoSpaceDE w:val="0"/>
        <w:autoSpaceDN w:val="0"/>
        <w:adjustRightInd w:val="0"/>
        <w:spacing w:line="360" w:lineRule="auto"/>
        <w:ind w:firstLine="960" w:firstLineChars="400"/>
        <w:rPr>
          <w:rFonts w:ascii="宋体" w:hAnsi="宋体" w:cs="宋体"/>
          <w:kern w:val="0"/>
          <w:sz w:val="24"/>
        </w:rPr>
      </w:pPr>
      <w:r>
        <w:rPr>
          <w:rFonts w:hint="eastAsia" w:ascii="宋体" w:hAnsi="宋体" w:cs="宋体"/>
          <w:kern w:val="0"/>
          <w:sz w:val="24"/>
        </w:rPr>
        <w:t>（2）法定代表人身份证明</w:t>
      </w:r>
    </w:p>
    <w:p>
      <w:pPr>
        <w:autoSpaceDE w:val="0"/>
        <w:autoSpaceDN w:val="0"/>
        <w:adjustRightInd w:val="0"/>
        <w:spacing w:line="360" w:lineRule="auto"/>
        <w:ind w:firstLine="960" w:firstLineChars="400"/>
        <w:rPr>
          <w:rFonts w:ascii="宋体" w:hAnsi="宋体" w:cs="宋体"/>
          <w:kern w:val="0"/>
          <w:sz w:val="24"/>
        </w:rPr>
      </w:pPr>
      <w:r>
        <w:rPr>
          <w:rFonts w:hint="eastAsia" w:ascii="宋体" w:hAnsi="宋体" w:cs="宋体"/>
          <w:kern w:val="0"/>
          <w:sz w:val="24"/>
        </w:rPr>
        <w:t>（3）授权委托书</w:t>
      </w:r>
    </w:p>
    <w:p>
      <w:pPr>
        <w:autoSpaceDE w:val="0"/>
        <w:autoSpaceDN w:val="0"/>
        <w:adjustRightInd w:val="0"/>
        <w:spacing w:line="360" w:lineRule="auto"/>
        <w:ind w:firstLine="960" w:firstLineChars="400"/>
        <w:rPr>
          <w:rFonts w:ascii="宋体" w:hAnsi="宋体" w:cs="宋体"/>
          <w:kern w:val="0"/>
          <w:sz w:val="24"/>
        </w:rPr>
      </w:pPr>
      <w:r>
        <w:rPr>
          <w:rFonts w:hint="eastAsia" w:ascii="宋体" w:hAnsi="宋体" w:cs="宋体"/>
          <w:kern w:val="0"/>
          <w:sz w:val="24"/>
        </w:rPr>
        <w:t>（4）投标保证金</w:t>
      </w:r>
    </w:p>
    <w:p>
      <w:pPr>
        <w:autoSpaceDE w:val="0"/>
        <w:autoSpaceDN w:val="0"/>
        <w:adjustRightInd w:val="0"/>
        <w:spacing w:line="360" w:lineRule="auto"/>
        <w:ind w:firstLine="960" w:firstLineChars="400"/>
        <w:rPr>
          <w:rFonts w:ascii="宋体" w:hAnsi="宋体" w:cs="宋体"/>
          <w:kern w:val="0"/>
          <w:sz w:val="24"/>
        </w:rPr>
      </w:pPr>
      <w:r>
        <w:rPr>
          <w:rFonts w:hint="eastAsia" w:ascii="宋体" w:hAnsi="宋体" w:cs="宋体"/>
          <w:kern w:val="0"/>
          <w:sz w:val="24"/>
        </w:rPr>
        <w:t>（5）代建方案</w:t>
      </w:r>
    </w:p>
    <w:p>
      <w:pPr>
        <w:autoSpaceDE w:val="0"/>
        <w:autoSpaceDN w:val="0"/>
        <w:adjustRightInd w:val="0"/>
        <w:spacing w:line="360" w:lineRule="auto"/>
        <w:ind w:firstLine="960" w:firstLineChars="400"/>
        <w:rPr>
          <w:rFonts w:ascii="宋体" w:hAnsi="宋体" w:cs="宋体"/>
          <w:kern w:val="0"/>
          <w:sz w:val="24"/>
        </w:rPr>
      </w:pPr>
      <w:r>
        <w:rPr>
          <w:rFonts w:hint="eastAsia" w:ascii="宋体" w:hAnsi="宋体" w:cs="宋体"/>
          <w:kern w:val="0"/>
          <w:sz w:val="24"/>
        </w:rPr>
        <w:t>（6）已标价工程量清单（不要求）</w:t>
      </w:r>
    </w:p>
    <w:p>
      <w:pPr>
        <w:autoSpaceDE w:val="0"/>
        <w:autoSpaceDN w:val="0"/>
        <w:adjustRightInd w:val="0"/>
        <w:spacing w:line="360" w:lineRule="auto"/>
        <w:ind w:firstLine="960" w:firstLineChars="400"/>
        <w:rPr>
          <w:rFonts w:ascii="宋体" w:hAnsi="宋体" w:cs="宋体"/>
          <w:kern w:val="0"/>
          <w:sz w:val="24"/>
        </w:rPr>
      </w:pPr>
      <w:r>
        <w:rPr>
          <w:rFonts w:hint="eastAsia" w:ascii="宋体" w:hAnsi="宋体" w:cs="宋体"/>
          <w:kern w:val="0"/>
          <w:sz w:val="24"/>
        </w:rPr>
        <w:t>（7）项目管理机构</w:t>
      </w:r>
    </w:p>
    <w:p>
      <w:pPr>
        <w:autoSpaceDE w:val="0"/>
        <w:autoSpaceDN w:val="0"/>
        <w:adjustRightInd w:val="0"/>
        <w:spacing w:line="360" w:lineRule="auto"/>
        <w:ind w:firstLine="960" w:firstLineChars="400"/>
        <w:rPr>
          <w:rFonts w:ascii="宋体" w:hAnsi="宋体" w:cs="宋体"/>
          <w:kern w:val="0"/>
          <w:sz w:val="24"/>
        </w:rPr>
      </w:pPr>
      <w:r>
        <w:rPr>
          <w:rFonts w:hint="eastAsia" w:ascii="宋体" w:hAnsi="宋体" w:cs="宋体"/>
          <w:kern w:val="0"/>
          <w:sz w:val="24"/>
        </w:rPr>
        <w:t>（8）资格审查资料</w:t>
      </w:r>
    </w:p>
    <w:p>
      <w:pPr>
        <w:autoSpaceDE w:val="0"/>
        <w:autoSpaceDN w:val="0"/>
        <w:adjustRightInd w:val="0"/>
        <w:spacing w:line="360" w:lineRule="auto"/>
        <w:ind w:firstLine="960" w:firstLineChars="400"/>
        <w:rPr>
          <w:rFonts w:ascii="宋体" w:hAnsi="宋体" w:cs="宋体"/>
          <w:kern w:val="0"/>
          <w:sz w:val="24"/>
        </w:rPr>
      </w:pPr>
      <w:r>
        <w:rPr>
          <w:rFonts w:hint="eastAsia" w:ascii="宋体" w:hAnsi="宋体" w:cs="宋体"/>
          <w:kern w:val="0"/>
          <w:sz w:val="24"/>
        </w:rPr>
        <w:t>（9）其他材料</w:t>
      </w:r>
    </w:p>
    <w:p>
      <w:pPr>
        <w:autoSpaceDE w:val="0"/>
        <w:autoSpaceDN w:val="0"/>
        <w:adjustRightInd w:val="0"/>
        <w:spacing w:line="360" w:lineRule="auto"/>
        <w:rPr>
          <w:rFonts w:ascii="宋体" w:hAnsi="宋体" w:cs="宋体"/>
          <w:kern w:val="0"/>
          <w:sz w:val="24"/>
        </w:rPr>
      </w:pPr>
      <w:r>
        <w:rPr>
          <w:rFonts w:hint="eastAsia" w:ascii="宋体" w:cs="宋体"/>
          <w:kern w:val="0"/>
          <w:sz w:val="24"/>
        </w:rPr>
        <w:t xml:space="preserve">        </w:t>
      </w:r>
      <w:r>
        <w:rPr>
          <w:rFonts w:ascii="宋体" w:hAnsi="宋体" w:cs="TimesNewRomanPSMT"/>
          <w:kern w:val="0"/>
          <w:sz w:val="24"/>
        </w:rPr>
        <w:t xml:space="preserve">3.1.2 </w:t>
      </w:r>
      <w:r>
        <w:rPr>
          <w:rFonts w:hint="eastAsia" w:ascii="宋体" w:hAnsi="宋体" w:cs="宋体"/>
          <w:kern w:val="0"/>
          <w:sz w:val="24"/>
        </w:rPr>
        <w:t>投标人须知前附表规定不接受联合体投标的，或投标人没有组成联合体的，投标文件不包括本章第</w:t>
      </w:r>
      <w:r>
        <w:rPr>
          <w:rFonts w:ascii="宋体" w:hAnsi="宋体" w:cs="TimesNewRomanPSMT"/>
          <w:kern w:val="0"/>
          <w:sz w:val="24"/>
        </w:rPr>
        <w:t>3.1.1</w:t>
      </w:r>
      <w:r>
        <w:rPr>
          <w:rFonts w:hint="eastAsia" w:ascii="宋体" w:hAnsi="宋体" w:cs="宋体"/>
          <w:kern w:val="0"/>
          <w:sz w:val="24"/>
        </w:rPr>
        <w:t>（</w:t>
      </w:r>
      <w:r>
        <w:rPr>
          <w:rFonts w:ascii="宋体" w:hAnsi="宋体" w:cs="TimesNewRomanPSMT"/>
          <w:kern w:val="0"/>
          <w:sz w:val="24"/>
        </w:rPr>
        <w:t>3</w:t>
      </w:r>
      <w:r>
        <w:rPr>
          <w:rFonts w:hint="eastAsia" w:ascii="宋体" w:hAnsi="宋体" w:cs="宋体"/>
          <w:kern w:val="0"/>
          <w:sz w:val="24"/>
        </w:rPr>
        <w:t>）目所指的联合体协议书。</w:t>
      </w:r>
    </w:p>
    <w:p>
      <w:pPr>
        <w:autoSpaceDE w:val="0"/>
        <w:autoSpaceDN w:val="0"/>
        <w:adjustRightInd w:val="0"/>
        <w:spacing w:line="360" w:lineRule="auto"/>
        <w:rPr>
          <w:rFonts w:ascii="黑体" w:eastAsia="黑体" w:cs="黑体"/>
          <w:kern w:val="0"/>
          <w:sz w:val="28"/>
          <w:szCs w:val="28"/>
        </w:rPr>
      </w:pPr>
      <w:r>
        <w:rPr>
          <w:rFonts w:ascii="TimesNewRomanPSMT" w:hAnsi="TimesNewRomanPSMT" w:cs="TimesNewRomanPSMT"/>
          <w:kern w:val="0"/>
          <w:sz w:val="28"/>
          <w:szCs w:val="28"/>
        </w:rPr>
        <w:t xml:space="preserve">3.2 </w:t>
      </w:r>
      <w:r>
        <w:rPr>
          <w:rFonts w:hint="eastAsia" w:ascii="黑体" w:eastAsia="黑体" w:cs="黑体"/>
          <w:kern w:val="0"/>
          <w:sz w:val="28"/>
          <w:szCs w:val="28"/>
        </w:rPr>
        <w:t>投标报价</w:t>
      </w:r>
    </w:p>
    <w:p>
      <w:pPr>
        <w:tabs>
          <w:tab w:val="left" w:pos="540"/>
        </w:tabs>
        <w:spacing w:line="380" w:lineRule="exact"/>
        <w:ind w:left="420"/>
        <w:rPr>
          <w:rFonts w:ascii="宋体" w:hAnsi="宋体"/>
          <w:b/>
          <w:sz w:val="24"/>
          <w:szCs w:val="21"/>
        </w:rPr>
      </w:pPr>
      <w:r>
        <w:rPr>
          <w:rFonts w:hint="eastAsia" w:ascii="宋体" w:hAnsi="宋体"/>
          <w:sz w:val="24"/>
          <w:szCs w:val="21"/>
        </w:rPr>
        <w:t>3.2.1招标控制价为：</w:t>
      </w:r>
      <w:r>
        <w:rPr>
          <w:rFonts w:hint="eastAsia" w:ascii="宋体" w:hAnsi="宋体"/>
          <w:sz w:val="24"/>
          <w:szCs w:val="21"/>
          <w:u w:val="single"/>
        </w:rPr>
        <w:t>962200.00</w:t>
      </w:r>
      <w:r>
        <w:rPr>
          <w:rFonts w:hint="eastAsia" w:ascii="宋体" w:hAnsi="宋体"/>
          <w:sz w:val="24"/>
          <w:szCs w:val="21"/>
        </w:rPr>
        <w:t>元（含）为最高报价，投标报价超出招标控制价和低于成本价的为无效报价，不计入计算因素，按废标处理。</w:t>
      </w:r>
    </w:p>
    <w:p>
      <w:pPr>
        <w:tabs>
          <w:tab w:val="left" w:pos="540"/>
        </w:tabs>
        <w:spacing w:line="380" w:lineRule="exact"/>
        <w:ind w:left="420"/>
        <w:rPr>
          <w:rFonts w:ascii="宋体" w:hAnsi="宋体"/>
          <w:sz w:val="24"/>
          <w:szCs w:val="21"/>
        </w:rPr>
      </w:pPr>
      <w:r>
        <w:rPr>
          <w:rFonts w:hint="eastAsia" w:ascii="宋体" w:hAnsi="宋体"/>
          <w:sz w:val="24"/>
          <w:szCs w:val="21"/>
        </w:rPr>
        <w:t>3.2.2报价注意事项：</w:t>
      </w:r>
    </w:p>
    <w:p>
      <w:pPr>
        <w:tabs>
          <w:tab w:val="left" w:pos="540"/>
        </w:tabs>
        <w:spacing w:line="380" w:lineRule="exact"/>
        <w:ind w:firstLine="600"/>
        <w:rPr>
          <w:rFonts w:ascii="宋体" w:hAnsi="宋体"/>
          <w:sz w:val="24"/>
          <w:szCs w:val="21"/>
        </w:rPr>
      </w:pPr>
      <w:r>
        <w:rPr>
          <w:rFonts w:hint="eastAsia" w:ascii="宋体" w:hAnsi="宋体"/>
          <w:sz w:val="24"/>
          <w:szCs w:val="21"/>
        </w:rPr>
        <w:t>①、各投标人按金额报价，报价应取小数点后两位。</w:t>
      </w:r>
    </w:p>
    <w:p>
      <w:pPr>
        <w:tabs>
          <w:tab w:val="left" w:pos="540"/>
        </w:tabs>
        <w:spacing w:line="380" w:lineRule="exact"/>
        <w:ind w:firstLine="600"/>
        <w:rPr>
          <w:rFonts w:ascii="宋体" w:hAnsi="宋体"/>
          <w:sz w:val="24"/>
          <w:szCs w:val="21"/>
        </w:rPr>
      </w:pPr>
      <w:r>
        <w:rPr>
          <w:rFonts w:hint="eastAsia" w:ascii="宋体" w:hAnsi="宋体"/>
          <w:sz w:val="24"/>
          <w:szCs w:val="21"/>
        </w:rPr>
        <w:t>②、平均值计算小数点后取两位有效，第三位四舍五入。</w:t>
      </w:r>
    </w:p>
    <w:p>
      <w:pPr>
        <w:autoSpaceDE w:val="0"/>
        <w:autoSpaceDN w:val="0"/>
        <w:adjustRightInd w:val="0"/>
        <w:spacing w:line="360" w:lineRule="auto"/>
        <w:rPr>
          <w:rFonts w:ascii="黑体" w:eastAsia="黑体" w:cs="黑体"/>
          <w:kern w:val="0"/>
          <w:sz w:val="28"/>
          <w:szCs w:val="28"/>
        </w:rPr>
      </w:pPr>
      <w:r>
        <w:rPr>
          <w:rFonts w:ascii="TimesNewRomanPSMT" w:hAnsi="TimesNewRomanPSMT" w:cs="TimesNewRomanPSMT"/>
          <w:kern w:val="0"/>
          <w:sz w:val="28"/>
          <w:szCs w:val="28"/>
        </w:rPr>
        <w:t xml:space="preserve">3.3 </w:t>
      </w:r>
      <w:r>
        <w:rPr>
          <w:rFonts w:hint="eastAsia" w:ascii="黑体" w:eastAsia="黑体" w:cs="黑体"/>
          <w:kern w:val="0"/>
          <w:sz w:val="28"/>
          <w:szCs w:val="28"/>
        </w:rPr>
        <w:t>投标有效期</w:t>
      </w:r>
    </w:p>
    <w:p>
      <w:pPr>
        <w:autoSpaceDE w:val="0"/>
        <w:autoSpaceDN w:val="0"/>
        <w:adjustRightInd w:val="0"/>
        <w:spacing w:line="360" w:lineRule="auto"/>
        <w:ind w:firstLine="480" w:firstLineChars="200"/>
        <w:rPr>
          <w:rFonts w:ascii="宋体" w:hAnsi="宋体" w:cs="宋体"/>
          <w:kern w:val="0"/>
          <w:sz w:val="24"/>
        </w:rPr>
      </w:pPr>
      <w:r>
        <w:rPr>
          <w:rFonts w:ascii="宋体" w:hAnsi="宋体" w:cs="TimesNewRomanPSMT"/>
          <w:kern w:val="0"/>
          <w:sz w:val="24"/>
        </w:rPr>
        <w:t xml:space="preserve">3.3.1 </w:t>
      </w:r>
      <w:r>
        <w:rPr>
          <w:rFonts w:hint="eastAsia" w:ascii="宋体" w:hAnsi="宋体" w:cs="宋体"/>
          <w:kern w:val="0"/>
          <w:sz w:val="24"/>
        </w:rPr>
        <w:t>在投标人须知前附表规定的投标有效期内，投标人不得要求撤销或修改其投标文件。</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3.3.2 </w:t>
      </w:r>
      <w:r>
        <w:rPr>
          <w:rFonts w:hint="eastAsia" w:ascii="宋体" w:hAnsi="宋体" w:cs="宋体"/>
          <w:kern w:val="0"/>
          <w:sz w:val="24"/>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autoSpaceDE w:val="0"/>
        <w:autoSpaceDN w:val="0"/>
        <w:adjustRightInd w:val="0"/>
        <w:spacing w:line="360" w:lineRule="auto"/>
        <w:rPr>
          <w:rFonts w:ascii="黑体" w:eastAsia="黑体" w:cs="黑体"/>
          <w:kern w:val="0"/>
          <w:sz w:val="28"/>
          <w:szCs w:val="28"/>
        </w:rPr>
      </w:pPr>
      <w:r>
        <w:rPr>
          <w:rFonts w:ascii="TimesNewRomanPSMT" w:hAnsi="TimesNewRomanPSMT" w:cs="TimesNewRomanPSMT"/>
          <w:kern w:val="0"/>
          <w:sz w:val="28"/>
          <w:szCs w:val="28"/>
        </w:rPr>
        <w:t xml:space="preserve">3.4 </w:t>
      </w:r>
      <w:r>
        <w:rPr>
          <w:rFonts w:hint="eastAsia" w:ascii="黑体" w:eastAsia="黑体" w:cs="黑体"/>
          <w:kern w:val="0"/>
          <w:sz w:val="28"/>
          <w:szCs w:val="28"/>
        </w:rPr>
        <w:t>投标保证金</w:t>
      </w:r>
    </w:p>
    <w:p>
      <w:pPr>
        <w:autoSpaceDE w:val="0"/>
        <w:autoSpaceDN w:val="0"/>
        <w:adjustRightInd w:val="0"/>
        <w:spacing w:line="360" w:lineRule="auto"/>
        <w:ind w:firstLine="480" w:firstLineChars="200"/>
        <w:rPr>
          <w:rFonts w:ascii="宋体" w:hAnsi="宋体" w:cs="宋体"/>
          <w:kern w:val="0"/>
          <w:sz w:val="24"/>
        </w:rPr>
      </w:pPr>
      <w:r>
        <w:rPr>
          <w:rFonts w:ascii="宋体" w:hAnsi="宋体" w:cs="TimesNewRomanPSMT"/>
          <w:kern w:val="0"/>
          <w:sz w:val="24"/>
        </w:rPr>
        <w:t xml:space="preserve">3.4.1 </w:t>
      </w:r>
      <w:r>
        <w:rPr>
          <w:rFonts w:hint="eastAsia" w:ascii="宋体" w:hAnsi="宋体" w:cs="宋体"/>
          <w:kern w:val="0"/>
          <w:sz w:val="24"/>
        </w:rPr>
        <w:t>投标人在递交投标文件的同时，应按投标人须知前附表规定的金额、担保形式和第七章“投标文件格式”规定的投标保证金格式递交投标保证金，并作为其投标文件的组成部分。联合体投标的，其投标保证金由牵头人递交，并应符合投标人须知前附表的规定。</w:t>
      </w:r>
    </w:p>
    <w:p>
      <w:pPr>
        <w:autoSpaceDE w:val="0"/>
        <w:autoSpaceDN w:val="0"/>
        <w:adjustRightInd w:val="0"/>
        <w:spacing w:line="360" w:lineRule="auto"/>
        <w:ind w:firstLine="480" w:firstLineChars="200"/>
        <w:rPr>
          <w:rFonts w:ascii="宋体" w:hAnsi="宋体" w:cs="宋体"/>
          <w:kern w:val="0"/>
          <w:sz w:val="24"/>
        </w:rPr>
      </w:pPr>
      <w:r>
        <w:rPr>
          <w:rFonts w:ascii="宋体" w:hAnsi="宋体" w:cs="TimesNewRomanPSMT"/>
          <w:kern w:val="0"/>
          <w:sz w:val="24"/>
        </w:rPr>
        <w:t xml:space="preserve">3.4.2 </w:t>
      </w:r>
      <w:r>
        <w:rPr>
          <w:rFonts w:hint="eastAsia" w:ascii="宋体" w:hAnsi="宋体" w:cs="宋体"/>
          <w:kern w:val="0"/>
          <w:sz w:val="24"/>
        </w:rPr>
        <w:t>投标人不按本章第</w:t>
      </w:r>
      <w:r>
        <w:rPr>
          <w:rFonts w:ascii="宋体" w:hAnsi="宋体" w:cs="TimesNewRomanPSMT"/>
          <w:kern w:val="0"/>
          <w:sz w:val="24"/>
        </w:rPr>
        <w:t xml:space="preserve">3.4.1 </w:t>
      </w:r>
      <w:r>
        <w:rPr>
          <w:rFonts w:hint="eastAsia" w:ascii="宋体" w:hAnsi="宋体" w:cs="宋体"/>
          <w:kern w:val="0"/>
          <w:sz w:val="24"/>
        </w:rPr>
        <w:t>项要求提交投标保证金的，其投标文件作废标处理。</w:t>
      </w:r>
    </w:p>
    <w:p>
      <w:pPr>
        <w:autoSpaceDE w:val="0"/>
        <w:autoSpaceDN w:val="0"/>
        <w:adjustRightInd w:val="0"/>
        <w:spacing w:line="360" w:lineRule="auto"/>
        <w:ind w:firstLine="480" w:firstLineChars="200"/>
        <w:rPr>
          <w:rFonts w:ascii="宋体" w:hAnsi="宋体" w:cs="宋体"/>
          <w:kern w:val="0"/>
          <w:sz w:val="24"/>
        </w:rPr>
      </w:pPr>
      <w:r>
        <w:rPr>
          <w:rFonts w:ascii="宋体" w:hAnsi="宋体" w:cs="TimesNewRomanPSMT"/>
          <w:kern w:val="0"/>
          <w:sz w:val="24"/>
        </w:rPr>
        <w:t xml:space="preserve">3.4.3 </w:t>
      </w:r>
      <w:r>
        <w:rPr>
          <w:rFonts w:hint="eastAsia" w:ascii="宋体" w:hAnsi="宋体" w:cs="宋体"/>
          <w:kern w:val="0"/>
          <w:sz w:val="24"/>
        </w:rPr>
        <w:t>招标人与中标人签合同后</w:t>
      </w:r>
      <w:r>
        <w:rPr>
          <w:rFonts w:hint="eastAsia" w:ascii="宋体" w:hAnsi="宋体" w:cs="TimesNewRomanPSMT"/>
          <w:kern w:val="0"/>
          <w:sz w:val="24"/>
        </w:rPr>
        <w:t>30</w:t>
      </w:r>
      <w:r>
        <w:rPr>
          <w:rFonts w:hint="eastAsia" w:ascii="宋体" w:hAnsi="宋体" w:cs="宋体"/>
          <w:kern w:val="0"/>
          <w:sz w:val="24"/>
        </w:rPr>
        <w:t>个工作日内，向未中标的投标人和中标人退还投标保证金。</w:t>
      </w:r>
    </w:p>
    <w:p>
      <w:pPr>
        <w:autoSpaceDE w:val="0"/>
        <w:autoSpaceDN w:val="0"/>
        <w:adjustRightInd w:val="0"/>
        <w:spacing w:line="360" w:lineRule="auto"/>
        <w:ind w:firstLine="480" w:firstLineChars="200"/>
        <w:rPr>
          <w:rFonts w:ascii="宋体" w:hAnsi="宋体" w:cs="宋体"/>
          <w:kern w:val="0"/>
          <w:sz w:val="24"/>
        </w:rPr>
      </w:pPr>
      <w:r>
        <w:rPr>
          <w:rFonts w:ascii="宋体" w:hAnsi="宋体" w:cs="TimesNewRomanPSMT"/>
          <w:kern w:val="0"/>
          <w:sz w:val="24"/>
        </w:rPr>
        <w:t xml:space="preserve">3.4.4 </w:t>
      </w:r>
      <w:r>
        <w:rPr>
          <w:rFonts w:hint="eastAsia" w:ascii="宋体" w:hAnsi="宋体" w:cs="宋体"/>
          <w:kern w:val="0"/>
          <w:sz w:val="24"/>
        </w:rPr>
        <w:t>有下列情形之一的，投标保证金将不予退还：</w:t>
      </w:r>
    </w:p>
    <w:p>
      <w:pPr>
        <w:autoSpaceDE w:val="0"/>
        <w:autoSpaceDN w:val="0"/>
        <w:adjustRightInd w:val="0"/>
        <w:spacing w:line="360" w:lineRule="auto"/>
        <w:ind w:firstLine="960" w:firstLineChars="400"/>
        <w:rPr>
          <w:rFonts w:ascii="宋体" w:hAnsi="宋体" w:cs="宋体"/>
          <w:kern w:val="0"/>
          <w:sz w:val="24"/>
        </w:rPr>
      </w:pPr>
      <w:r>
        <w:rPr>
          <w:rFonts w:hint="eastAsia" w:ascii="宋体" w:hAnsi="宋体" w:cs="宋体"/>
          <w:kern w:val="0"/>
          <w:sz w:val="24"/>
        </w:rPr>
        <w:t>（</w:t>
      </w:r>
      <w:r>
        <w:rPr>
          <w:rFonts w:ascii="宋体" w:hAnsi="宋体" w:cs="TimesNewRomanPSMT"/>
          <w:kern w:val="0"/>
          <w:sz w:val="24"/>
        </w:rPr>
        <w:t>1</w:t>
      </w:r>
      <w:r>
        <w:rPr>
          <w:rFonts w:hint="eastAsia" w:ascii="宋体" w:hAnsi="宋体" w:cs="宋体"/>
          <w:kern w:val="0"/>
          <w:sz w:val="24"/>
        </w:rPr>
        <w:t>）投标人在规定的投标有效期内撤销或修改其投标文件；</w:t>
      </w:r>
    </w:p>
    <w:p>
      <w:pPr>
        <w:autoSpaceDE w:val="0"/>
        <w:autoSpaceDN w:val="0"/>
        <w:adjustRightInd w:val="0"/>
        <w:spacing w:line="360" w:lineRule="auto"/>
        <w:ind w:firstLine="960" w:firstLineChars="400"/>
        <w:rPr>
          <w:rFonts w:ascii="宋体" w:hAnsi="宋体" w:cs="宋体"/>
          <w:kern w:val="0"/>
          <w:sz w:val="24"/>
        </w:rPr>
      </w:pPr>
      <w:r>
        <w:rPr>
          <w:rFonts w:hint="eastAsia" w:ascii="宋体" w:hAnsi="宋体" w:cs="宋体"/>
          <w:kern w:val="0"/>
          <w:sz w:val="24"/>
        </w:rPr>
        <w:t>（</w:t>
      </w:r>
      <w:r>
        <w:rPr>
          <w:rFonts w:ascii="宋体" w:hAnsi="宋体" w:cs="TimesNewRomanPSMT"/>
          <w:kern w:val="0"/>
          <w:sz w:val="24"/>
        </w:rPr>
        <w:t>2</w:t>
      </w:r>
      <w:r>
        <w:rPr>
          <w:rFonts w:hint="eastAsia" w:ascii="宋体" w:hAnsi="宋体" w:cs="宋体"/>
          <w:kern w:val="0"/>
          <w:sz w:val="24"/>
        </w:rPr>
        <w:t>）中标人在收到中标通知书后，无正当理由拒签合同协议书或未按招标文件规定提交履约担保。</w:t>
      </w:r>
    </w:p>
    <w:p>
      <w:pPr>
        <w:autoSpaceDE w:val="0"/>
        <w:autoSpaceDN w:val="0"/>
        <w:adjustRightInd w:val="0"/>
        <w:spacing w:line="360" w:lineRule="auto"/>
        <w:jc w:val="left"/>
        <w:rPr>
          <w:rFonts w:ascii="黑体" w:eastAsia="黑体" w:cs="黑体"/>
          <w:kern w:val="0"/>
          <w:sz w:val="28"/>
          <w:szCs w:val="28"/>
        </w:rPr>
      </w:pPr>
      <w:r>
        <w:rPr>
          <w:rFonts w:ascii="TimesNewRomanPSMT" w:hAnsi="TimesNewRomanPSMT" w:cs="TimesNewRomanPSMT"/>
          <w:kern w:val="0"/>
          <w:sz w:val="28"/>
          <w:szCs w:val="28"/>
        </w:rPr>
        <w:t xml:space="preserve">3.5 </w:t>
      </w:r>
      <w:r>
        <w:rPr>
          <w:rFonts w:hint="eastAsia" w:ascii="黑体" w:eastAsia="黑体" w:cs="黑体"/>
          <w:kern w:val="0"/>
          <w:sz w:val="28"/>
          <w:szCs w:val="28"/>
        </w:rPr>
        <w:t>资格审查资料（适用于未进行资格预审的）</w:t>
      </w:r>
    </w:p>
    <w:p>
      <w:pPr>
        <w:autoSpaceDE w:val="0"/>
        <w:autoSpaceDN w:val="0"/>
        <w:adjustRightInd w:val="0"/>
        <w:spacing w:line="360" w:lineRule="auto"/>
        <w:ind w:firstLine="480" w:firstLineChars="200"/>
        <w:rPr>
          <w:rFonts w:ascii="宋体" w:hAnsi="宋体" w:cs="宋体"/>
          <w:kern w:val="0"/>
          <w:sz w:val="24"/>
        </w:rPr>
      </w:pPr>
      <w:r>
        <w:rPr>
          <w:rFonts w:ascii="宋体" w:hAnsi="宋体" w:cs="TimesNewRomanPSMT"/>
          <w:kern w:val="0"/>
          <w:sz w:val="24"/>
        </w:rPr>
        <w:t xml:space="preserve">3.5.1 </w:t>
      </w:r>
      <w:r>
        <w:rPr>
          <w:rFonts w:hint="eastAsia" w:ascii="宋体" w:hAnsi="宋体" w:cs="宋体"/>
          <w:kern w:val="0"/>
          <w:sz w:val="24"/>
        </w:rPr>
        <w:t>“投标人基本情况表”应附投标人营业执照副本及其年检合格的证明材料、资质证书副本和安全生产许可证（施工单位提供）等材料的复印件。</w:t>
      </w:r>
    </w:p>
    <w:p>
      <w:pPr>
        <w:autoSpaceDE w:val="0"/>
        <w:autoSpaceDN w:val="0"/>
        <w:adjustRightInd w:val="0"/>
        <w:spacing w:line="360" w:lineRule="auto"/>
        <w:ind w:firstLine="480" w:firstLineChars="200"/>
        <w:rPr>
          <w:rFonts w:ascii="宋体" w:hAnsi="宋体" w:cs="宋体"/>
          <w:kern w:val="0"/>
          <w:sz w:val="24"/>
        </w:rPr>
      </w:pPr>
      <w:r>
        <w:rPr>
          <w:rFonts w:ascii="宋体" w:hAnsi="宋体" w:cs="TimesNewRomanPSMT"/>
          <w:kern w:val="0"/>
          <w:sz w:val="24"/>
        </w:rPr>
        <w:t xml:space="preserve">3.5.2 </w:t>
      </w:r>
      <w:r>
        <w:rPr>
          <w:rFonts w:hint="eastAsia" w:ascii="宋体" w:hAnsi="宋体" w:cs="宋体"/>
          <w:kern w:val="0"/>
          <w:sz w:val="24"/>
        </w:rPr>
        <w:t>“近年财务状况表”应附经会计师事务所或审计机构审计的财务会计报表，具体年份要求见投标人须知前附表。</w:t>
      </w:r>
    </w:p>
    <w:p>
      <w:pPr>
        <w:autoSpaceDE w:val="0"/>
        <w:autoSpaceDN w:val="0"/>
        <w:adjustRightInd w:val="0"/>
        <w:spacing w:line="360" w:lineRule="auto"/>
        <w:ind w:firstLine="480" w:firstLineChars="200"/>
        <w:rPr>
          <w:rFonts w:ascii="宋体" w:hAnsi="宋体" w:cs="宋体"/>
          <w:kern w:val="0"/>
          <w:sz w:val="24"/>
        </w:rPr>
      </w:pPr>
      <w:r>
        <w:rPr>
          <w:rFonts w:ascii="宋体" w:hAnsi="宋体" w:cs="TimesNewRomanPSMT"/>
          <w:kern w:val="0"/>
          <w:sz w:val="24"/>
        </w:rPr>
        <w:t xml:space="preserve">3.5.3 </w:t>
      </w:r>
      <w:r>
        <w:rPr>
          <w:rFonts w:hint="eastAsia" w:ascii="宋体" w:hAnsi="宋体" w:cs="宋体"/>
          <w:kern w:val="0"/>
          <w:sz w:val="24"/>
        </w:rPr>
        <w:t>“近年代建的类似项目情况表”应附代建合同协议书的复印件，具体年份要求见投标人须知前附表。每张表格只填写一个项目，并标明序号。</w:t>
      </w:r>
    </w:p>
    <w:p>
      <w:pPr>
        <w:autoSpaceDE w:val="0"/>
        <w:autoSpaceDN w:val="0"/>
        <w:adjustRightInd w:val="0"/>
        <w:spacing w:line="360" w:lineRule="auto"/>
        <w:ind w:firstLine="480" w:firstLineChars="200"/>
        <w:rPr>
          <w:rFonts w:ascii="宋体" w:hAnsi="宋体" w:cs="宋体"/>
          <w:kern w:val="0"/>
          <w:sz w:val="24"/>
        </w:rPr>
      </w:pPr>
      <w:r>
        <w:rPr>
          <w:rFonts w:ascii="宋体" w:hAnsi="宋体" w:cs="TimesNewRomanPSMT"/>
          <w:kern w:val="0"/>
          <w:sz w:val="24"/>
        </w:rPr>
        <w:t>3.5.</w:t>
      </w:r>
      <w:r>
        <w:rPr>
          <w:rFonts w:hint="eastAsia" w:ascii="宋体" w:hAnsi="宋体" w:cs="TimesNewRomanPSMT"/>
          <w:kern w:val="0"/>
          <w:sz w:val="24"/>
        </w:rPr>
        <w:t>4</w:t>
      </w:r>
      <w:r>
        <w:rPr>
          <w:rFonts w:ascii="宋体" w:hAnsi="宋体" w:cs="TimesNewRomanPSMT"/>
          <w:kern w:val="0"/>
          <w:sz w:val="24"/>
        </w:rPr>
        <w:t xml:space="preserve"> </w:t>
      </w:r>
      <w:r>
        <w:rPr>
          <w:rFonts w:hint="eastAsia" w:ascii="宋体" w:hAnsi="宋体" w:cs="宋体"/>
          <w:kern w:val="0"/>
          <w:sz w:val="24"/>
        </w:rPr>
        <w:t>“近年发生的诉讼及仲裁情况”应说明相关情况，并附法院或仲裁机构作出的判决、裁决等有关法律文书复印件，具体年份要求见投标人须知前附表。</w:t>
      </w:r>
    </w:p>
    <w:p>
      <w:pPr>
        <w:autoSpaceDE w:val="0"/>
        <w:autoSpaceDN w:val="0"/>
        <w:adjustRightInd w:val="0"/>
        <w:spacing w:line="360" w:lineRule="auto"/>
        <w:ind w:firstLine="480" w:firstLineChars="200"/>
        <w:rPr>
          <w:rFonts w:ascii="宋体" w:hAnsi="宋体" w:cs="宋体"/>
          <w:kern w:val="0"/>
          <w:sz w:val="24"/>
        </w:rPr>
      </w:pPr>
      <w:r>
        <w:rPr>
          <w:rFonts w:ascii="宋体" w:hAnsi="宋体" w:cs="TimesNewRomanPSMT"/>
          <w:kern w:val="0"/>
          <w:sz w:val="24"/>
        </w:rPr>
        <w:t>3.5.</w:t>
      </w:r>
      <w:r>
        <w:rPr>
          <w:rFonts w:hint="eastAsia" w:ascii="宋体" w:hAnsi="宋体" w:cs="TimesNewRomanPSMT"/>
          <w:kern w:val="0"/>
          <w:sz w:val="24"/>
        </w:rPr>
        <w:t xml:space="preserve">5 </w:t>
      </w:r>
      <w:r>
        <w:rPr>
          <w:rFonts w:hint="eastAsia" w:ascii="宋体" w:hAnsi="宋体" w:cs="宋体"/>
          <w:kern w:val="0"/>
          <w:sz w:val="24"/>
        </w:rPr>
        <w:t>投标人须知前附表规定接受联合体投标的，本章第</w:t>
      </w:r>
      <w:r>
        <w:rPr>
          <w:rFonts w:ascii="宋体" w:hAnsi="宋体" w:cs="TimesNewRomanPSMT"/>
          <w:kern w:val="0"/>
          <w:sz w:val="24"/>
        </w:rPr>
        <w:t xml:space="preserve">3.5.1 </w:t>
      </w:r>
      <w:r>
        <w:rPr>
          <w:rFonts w:hint="eastAsia" w:ascii="宋体" w:hAnsi="宋体" w:cs="宋体"/>
          <w:kern w:val="0"/>
          <w:sz w:val="24"/>
        </w:rPr>
        <w:t>项至第</w:t>
      </w:r>
      <w:r>
        <w:rPr>
          <w:rFonts w:ascii="宋体" w:hAnsi="宋体" w:cs="TimesNewRomanPSMT"/>
          <w:kern w:val="0"/>
          <w:sz w:val="24"/>
        </w:rPr>
        <w:t xml:space="preserve">3.5.5 </w:t>
      </w:r>
      <w:r>
        <w:rPr>
          <w:rFonts w:hint="eastAsia" w:ascii="宋体" w:hAnsi="宋体" w:cs="宋体"/>
          <w:kern w:val="0"/>
          <w:sz w:val="24"/>
        </w:rPr>
        <w:t>项规定的表格和资料应包括联合体各方相关情况。</w:t>
      </w:r>
    </w:p>
    <w:p>
      <w:pPr>
        <w:autoSpaceDE w:val="0"/>
        <w:autoSpaceDN w:val="0"/>
        <w:adjustRightInd w:val="0"/>
        <w:spacing w:line="360" w:lineRule="auto"/>
        <w:jc w:val="left"/>
        <w:rPr>
          <w:rFonts w:ascii="黑体" w:eastAsia="黑体" w:cs="黑体"/>
          <w:kern w:val="0"/>
          <w:sz w:val="28"/>
          <w:szCs w:val="28"/>
        </w:rPr>
      </w:pPr>
      <w:r>
        <w:rPr>
          <w:rFonts w:ascii="TimesNewRomanPSMT" w:hAnsi="TimesNewRomanPSMT" w:cs="TimesNewRomanPSMT"/>
          <w:kern w:val="0"/>
          <w:sz w:val="28"/>
          <w:szCs w:val="28"/>
        </w:rPr>
        <w:t xml:space="preserve">3.6 </w:t>
      </w:r>
      <w:r>
        <w:rPr>
          <w:rFonts w:hint="eastAsia" w:ascii="黑体" w:eastAsia="黑体" w:cs="黑体"/>
          <w:kern w:val="0"/>
          <w:sz w:val="28"/>
          <w:szCs w:val="28"/>
        </w:rPr>
        <w:t>备选投标方案（不适用）</w:t>
      </w:r>
    </w:p>
    <w:p>
      <w:pPr>
        <w:autoSpaceDE w:val="0"/>
        <w:autoSpaceDN w:val="0"/>
        <w:adjustRightInd w:val="0"/>
        <w:spacing w:line="360" w:lineRule="auto"/>
        <w:ind w:firstLine="480" w:firstLineChars="200"/>
        <w:jc w:val="left"/>
        <w:rPr>
          <w:rFonts w:ascii="宋体" w:cs="宋体"/>
          <w:kern w:val="0"/>
          <w:sz w:val="24"/>
        </w:rPr>
      </w:pPr>
      <w:r>
        <w:rPr>
          <w:rFonts w:hint="eastAsia" w:ascii="宋体" w:cs="宋体"/>
          <w:kern w:val="0"/>
          <w:sz w:val="24"/>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autoSpaceDE w:val="0"/>
        <w:autoSpaceDN w:val="0"/>
        <w:adjustRightInd w:val="0"/>
        <w:spacing w:line="360" w:lineRule="auto"/>
        <w:jc w:val="left"/>
        <w:rPr>
          <w:rFonts w:ascii="黑体" w:eastAsia="黑体" w:cs="黑体"/>
          <w:kern w:val="0"/>
          <w:sz w:val="28"/>
          <w:szCs w:val="28"/>
        </w:rPr>
      </w:pPr>
      <w:r>
        <w:rPr>
          <w:rFonts w:ascii="TimesNewRomanPSMT" w:hAnsi="TimesNewRomanPSMT" w:cs="TimesNewRomanPSMT"/>
          <w:kern w:val="0"/>
          <w:sz w:val="28"/>
          <w:szCs w:val="28"/>
        </w:rPr>
        <w:t xml:space="preserve">3.7 </w:t>
      </w:r>
      <w:r>
        <w:rPr>
          <w:rFonts w:hint="eastAsia" w:ascii="黑体" w:eastAsia="黑体" w:cs="黑体"/>
          <w:kern w:val="0"/>
          <w:sz w:val="28"/>
          <w:szCs w:val="28"/>
        </w:rPr>
        <w:t>投标文件的编制</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3.7.1 </w:t>
      </w:r>
      <w:r>
        <w:rPr>
          <w:rFonts w:hint="eastAsia" w:ascii="宋体" w:hAnsi="宋体" w:cs="宋体"/>
          <w:kern w:val="0"/>
          <w:sz w:val="24"/>
        </w:rPr>
        <w:t>投标文件应按第七章“投标文件格式”进行编写，如有必要，可以增加附页，作为投标文件的组成部分。其中，投标函附录在满足招标文件实质性要求的基础上，可以提出比招标文件要求更有利于招标人的承诺。</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3.7.2 </w:t>
      </w:r>
      <w:r>
        <w:rPr>
          <w:rFonts w:hint="eastAsia" w:ascii="宋体" w:hAnsi="宋体" w:cs="宋体"/>
          <w:kern w:val="0"/>
          <w:sz w:val="24"/>
        </w:rPr>
        <w:t>投标文件应当对招标文件有关工期、投标有效期、质量要求、技术标准和要求、招标范围等实质性内容作出响应。</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3.7.3 </w:t>
      </w:r>
      <w:r>
        <w:rPr>
          <w:rFonts w:hint="eastAsia" w:ascii="宋体" w:hAnsi="宋体" w:cs="宋体"/>
          <w:kern w:val="0"/>
          <w:sz w:val="24"/>
        </w:rPr>
        <w:t>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3.7.4 </w:t>
      </w:r>
      <w:r>
        <w:rPr>
          <w:rFonts w:hint="eastAsia" w:ascii="宋体" w:hAnsi="宋体" w:cs="宋体"/>
          <w:kern w:val="0"/>
          <w:sz w:val="24"/>
        </w:rPr>
        <w:t>投标文件正本一份</w:t>
      </w:r>
      <w:r>
        <w:rPr>
          <w:rFonts w:ascii="宋体" w:hAnsi="宋体" w:cs="TimesNewRomanPSMT"/>
          <w:kern w:val="0"/>
          <w:sz w:val="24"/>
        </w:rPr>
        <w:t xml:space="preserve">, </w:t>
      </w:r>
      <w:r>
        <w:rPr>
          <w:rFonts w:hint="eastAsia" w:ascii="宋体" w:hAnsi="宋体" w:cs="宋体"/>
          <w:kern w:val="0"/>
          <w:sz w:val="24"/>
        </w:rPr>
        <w:t>副本份数见投标人须知前附表。正本和副本的封面上应清楚地标记“正本”或“副本”的字样。当副本和正本不一致时，以正本为准。</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3.7.5 </w:t>
      </w:r>
      <w:r>
        <w:rPr>
          <w:rFonts w:hint="eastAsia" w:ascii="宋体" w:hAnsi="宋体" w:cs="宋体"/>
          <w:kern w:val="0"/>
          <w:sz w:val="24"/>
        </w:rPr>
        <w:t>投标文件的正本与副本应分别装订成册，并编制目录，具体装订要求见投标人须知前附表规定。</w:t>
      </w:r>
    </w:p>
    <w:p>
      <w:pPr>
        <w:autoSpaceDE w:val="0"/>
        <w:autoSpaceDN w:val="0"/>
        <w:adjustRightInd w:val="0"/>
        <w:spacing w:line="360" w:lineRule="auto"/>
        <w:jc w:val="left"/>
        <w:rPr>
          <w:rFonts w:ascii="黑体" w:eastAsia="黑体" w:cs="黑体"/>
          <w:kern w:val="0"/>
          <w:sz w:val="30"/>
          <w:szCs w:val="30"/>
        </w:rPr>
      </w:pPr>
      <w:r>
        <w:rPr>
          <w:rFonts w:ascii="TimesNewRomanPSMT" w:hAnsi="TimesNewRomanPSMT" w:cs="TimesNewRomanPSMT"/>
          <w:kern w:val="0"/>
          <w:sz w:val="30"/>
          <w:szCs w:val="30"/>
        </w:rPr>
        <w:t xml:space="preserve">4. </w:t>
      </w:r>
      <w:r>
        <w:rPr>
          <w:rFonts w:hint="eastAsia" w:ascii="黑体" w:eastAsia="黑体" w:cs="黑体"/>
          <w:kern w:val="0"/>
          <w:sz w:val="30"/>
          <w:szCs w:val="30"/>
        </w:rPr>
        <w:t>投标</w:t>
      </w:r>
    </w:p>
    <w:p>
      <w:pPr>
        <w:autoSpaceDE w:val="0"/>
        <w:autoSpaceDN w:val="0"/>
        <w:adjustRightInd w:val="0"/>
        <w:spacing w:line="360" w:lineRule="auto"/>
        <w:jc w:val="left"/>
        <w:rPr>
          <w:rFonts w:ascii="黑体" w:eastAsia="黑体" w:cs="黑体"/>
          <w:kern w:val="0"/>
          <w:sz w:val="28"/>
          <w:szCs w:val="28"/>
        </w:rPr>
      </w:pPr>
      <w:r>
        <w:rPr>
          <w:rFonts w:ascii="TimesNewRomanPSMT" w:hAnsi="TimesNewRomanPSMT" w:cs="TimesNewRomanPSMT"/>
          <w:kern w:val="0"/>
          <w:sz w:val="28"/>
          <w:szCs w:val="28"/>
        </w:rPr>
        <w:t xml:space="preserve">4.1 </w:t>
      </w:r>
      <w:r>
        <w:rPr>
          <w:rFonts w:hint="eastAsia" w:ascii="黑体" w:eastAsia="黑体" w:cs="黑体"/>
          <w:kern w:val="0"/>
          <w:sz w:val="28"/>
          <w:szCs w:val="28"/>
        </w:rPr>
        <w:t>投标文件的密封和标记</w:t>
      </w:r>
    </w:p>
    <w:p>
      <w:pPr>
        <w:spacing w:line="312" w:lineRule="auto"/>
        <w:ind w:firstLine="480" w:firstLineChars="200"/>
      </w:pPr>
      <w:r>
        <w:rPr>
          <w:rFonts w:ascii="宋体" w:hAnsi="宋体" w:cs="TimesNewRomanPSMT"/>
          <w:kern w:val="0"/>
          <w:sz w:val="24"/>
        </w:rPr>
        <w:t xml:space="preserve">4.1.1 </w:t>
      </w:r>
      <w:r>
        <w:rPr>
          <w:rFonts w:hint="eastAsia" w:ascii="宋体" w:hAnsi="宋体" w:cs="宋体"/>
          <w:b/>
          <w:kern w:val="0"/>
          <w:sz w:val="24"/>
        </w:rPr>
        <w:t>投标文件的正本1份与副本4份应一起包装，</w:t>
      </w:r>
      <w:r>
        <w:rPr>
          <w:rFonts w:hint="eastAsia" w:ascii="宋体" w:hAnsi="宋体" w:cs="宋体"/>
          <w:kern w:val="0"/>
          <w:sz w:val="24"/>
        </w:rPr>
        <w:t>加贴封条，并在封套的封口处加盖投标人单位章</w:t>
      </w:r>
      <w:r>
        <w:rPr>
          <w:rFonts w:hint="eastAsia"/>
          <w:b/>
        </w:rPr>
        <w:t>。</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4.1.2 </w:t>
      </w:r>
      <w:r>
        <w:rPr>
          <w:rFonts w:hint="eastAsia" w:ascii="宋体" w:hAnsi="宋体" w:cs="宋体"/>
          <w:kern w:val="0"/>
          <w:sz w:val="24"/>
        </w:rPr>
        <w:t>投标文件的封面上应清楚地标记“正本”或“副本”字样，封套上应写明的其他内容见投标人须知前附表。</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4.1.3 </w:t>
      </w:r>
      <w:r>
        <w:rPr>
          <w:rFonts w:hint="eastAsia" w:ascii="宋体" w:hAnsi="宋体" w:cs="宋体"/>
          <w:kern w:val="0"/>
          <w:sz w:val="24"/>
        </w:rPr>
        <w:t>未按本章第</w:t>
      </w:r>
      <w:r>
        <w:rPr>
          <w:rFonts w:ascii="宋体" w:hAnsi="宋体" w:cs="TimesNewRomanPSMT"/>
          <w:kern w:val="0"/>
          <w:sz w:val="24"/>
        </w:rPr>
        <w:t xml:space="preserve">4.1.1 </w:t>
      </w:r>
      <w:r>
        <w:rPr>
          <w:rFonts w:hint="eastAsia" w:ascii="宋体" w:hAnsi="宋体" w:cs="宋体"/>
          <w:kern w:val="0"/>
          <w:sz w:val="24"/>
        </w:rPr>
        <w:t>项或第</w:t>
      </w:r>
      <w:r>
        <w:rPr>
          <w:rFonts w:ascii="宋体" w:hAnsi="宋体" w:cs="TimesNewRomanPSMT"/>
          <w:kern w:val="0"/>
          <w:sz w:val="24"/>
        </w:rPr>
        <w:t xml:space="preserve">4.1.2 </w:t>
      </w:r>
      <w:r>
        <w:rPr>
          <w:rFonts w:hint="eastAsia" w:ascii="宋体" w:hAnsi="宋体" w:cs="宋体"/>
          <w:kern w:val="0"/>
          <w:sz w:val="24"/>
        </w:rPr>
        <w:t>项要求密封和加写标记的投标文件，招标人不予受理。</w:t>
      </w:r>
    </w:p>
    <w:p>
      <w:pPr>
        <w:autoSpaceDE w:val="0"/>
        <w:autoSpaceDN w:val="0"/>
        <w:adjustRightInd w:val="0"/>
        <w:spacing w:line="360" w:lineRule="auto"/>
        <w:jc w:val="left"/>
        <w:rPr>
          <w:rFonts w:ascii="黑体" w:eastAsia="黑体" w:cs="黑体"/>
          <w:kern w:val="0"/>
          <w:sz w:val="28"/>
          <w:szCs w:val="28"/>
        </w:rPr>
      </w:pPr>
      <w:r>
        <w:rPr>
          <w:rFonts w:ascii="TimesNewRomanPSMT" w:hAnsi="TimesNewRomanPSMT" w:cs="TimesNewRomanPSMT"/>
          <w:kern w:val="0"/>
          <w:sz w:val="28"/>
          <w:szCs w:val="28"/>
        </w:rPr>
        <w:t xml:space="preserve">4.2 </w:t>
      </w:r>
      <w:r>
        <w:rPr>
          <w:rFonts w:hint="eastAsia" w:ascii="黑体" w:eastAsia="黑体" w:cs="黑体"/>
          <w:kern w:val="0"/>
          <w:sz w:val="28"/>
          <w:szCs w:val="28"/>
        </w:rPr>
        <w:t>投标文件的递交</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4.2.1 </w:t>
      </w:r>
      <w:r>
        <w:rPr>
          <w:rFonts w:hint="eastAsia" w:ascii="宋体" w:hAnsi="宋体" w:cs="宋体"/>
          <w:kern w:val="0"/>
          <w:sz w:val="24"/>
        </w:rPr>
        <w:t>投标人应在本章第</w:t>
      </w:r>
      <w:r>
        <w:rPr>
          <w:rFonts w:ascii="宋体" w:hAnsi="宋体" w:cs="TimesNewRomanPSMT"/>
          <w:kern w:val="0"/>
          <w:sz w:val="24"/>
        </w:rPr>
        <w:t xml:space="preserve">2.2.2 </w:t>
      </w:r>
      <w:r>
        <w:rPr>
          <w:rFonts w:hint="eastAsia" w:ascii="宋体" w:hAnsi="宋体" w:cs="宋体"/>
          <w:kern w:val="0"/>
          <w:sz w:val="24"/>
        </w:rPr>
        <w:t>项规定的投标截止时间前递交投标文件。</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4.2.2 </w:t>
      </w:r>
      <w:r>
        <w:rPr>
          <w:rFonts w:hint="eastAsia" w:ascii="宋体" w:hAnsi="宋体" w:cs="宋体"/>
          <w:kern w:val="0"/>
          <w:sz w:val="24"/>
        </w:rPr>
        <w:t>投标人递交投标文件的地点：见投标人须知前附表。</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4.2.3 </w:t>
      </w:r>
      <w:r>
        <w:rPr>
          <w:rFonts w:hint="eastAsia" w:ascii="宋体" w:hAnsi="宋体" w:cs="宋体"/>
          <w:kern w:val="0"/>
          <w:sz w:val="24"/>
        </w:rPr>
        <w:t>除投标人须知前附表另有规定外，投标人所递交的投标文件不予退还。</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4.2.4 </w:t>
      </w:r>
      <w:r>
        <w:rPr>
          <w:rFonts w:hint="eastAsia" w:ascii="宋体" w:hAnsi="宋体" w:cs="宋体"/>
          <w:kern w:val="0"/>
          <w:sz w:val="24"/>
        </w:rPr>
        <w:t>招标人收到投标文件后，向投标人出具签收凭证。</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4.2.5 </w:t>
      </w:r>
      <w:r>
        <w:rPr>
          <w:rFonts w:hint="eastAsia" w:ascii="宋体" w:hAnsi="宋体" w:cs="宋体"/>
          <w:kern w:val="0"/>
          <w:sz w:val="24"/>
        </w:rPr>
        <w:t>逾期送达的或者未送达指定地点的投标文件，招标人不予受理。</w:t>
      </w:r>
    </w:p>
    <w:p>
      <w:pPr>
        <w:autoSpaceDE w:val="0"/>
        <w:autoSpaceDN w:val="0"/>
        <w:adjustRightInd w:val="0"/>
        <w:spacing w:line="360" w:lineRule="auto"/>
        <w:jc w:val="left"/>
        <w:rPr>
          <w:rFonts w:ascii="黑体" w:eastAsia="黑体" w:cs="黑体"/>
          <w:kern w:val="0"/>
          <w:sz w:val="28"/>
          <w:szCs w:val="28"/>
        </w:rPr>
      </w:pPr>
      <w:r>
        <w:rPr>
          <w:rFonts w:ascii="TimesNewRomanPSMT" w:hAnsi="TimesNewRomanPSMT" w:cs="TimesNewRomanPSMT"/>
          <w:kern w:val="0"/>
          <w:sz w:val="28"/>
          <w:szCs w:val="28"/>
        </w:rPr>
        <w:t xml:space="preserve">4.3 </w:t>
      </w:r>
      <w:r>
        <w:rPr>
          <w:rFonts w:hint="eastAsia" w:ascii="黑体" w:eastAsia="黑体" w:cs="黑体"/>
          <w:kern w:val="0"/>
          <w:sz w:val="28"/>
          <w:szCs w:val="28"/>
        </w:rPr>
        <w:t>投标文件的修改与撤回</w:t>
      </w:r>
    </w:p>
    <w:p>
      <w:pPr>
        <w:autoSpaceDE w:val="0"/>
        <w:autoSpaceDN w:val="0"/>
        <w:adjustRightInd w:val="0"/>
        <w:spacing w:line="360" w:lineRule="auto"/>
        <w:ind w:firstLine="480" w:firstLineChars="200"/>
        <w:rPr>
          <w:rFonts w:ascii="宋体" w:hAnsi="宋体" w:cs="宋体"/>
          <w:kern w:val="0"/>
          <w:sz w:val="24"/>
        </w:rPr>
      </w:pPr>
      <w:r>
        <w:rPr>
          <w:rFonts w:ascii="宋体" w:hAnsi="宋体" w:cs="TimesNewRomanPSMT"/>
          <w:kern w:val="0"/>
          <w:sz w:val="24"/>
        </w:rPr>
        <w:t xml:space="preserve">4.3.1 </w:t>
      </w:r>
      <w:r>
        <w:rPr>
          <w:rFonts w:hint="eastAsia" w:ascii="宋体" w:hAnsi="宋体" w:cs="宋体"/>
          <w:kern w:val="0"/>
          <w:sz w:val="24"/>
        </w:rPr>
        <w:t>在本章第</w:t>
      </w:r>
      <w:r>
        <w:rPr>
          <w:rFonts w:ascii="宋体" w:hAnsi="宋体" w:cs="TimesNewRomanPSMT"/>
          <w:kern w:val="0"/>
          <w:sz w:val="24"/>
        </w:rPr>
        <w:t xml:space="preserve">2.2.2 </w:t>
      </w:r>
      <w:r>
        <w:rPr>
          <w:rFonts w:hint="eastAsia" w:ascii="宋体" w:hAnsi="宋体" w:cs="宋体"/>
          <w:kern w:val="0"/>
          <w:sz w:val="24"/>
        </w:rPr>
        <w:t>项规定的投标截止时间前，投标人可以修改或撤回已递交的投标文件，但应以书面形式通知招标人。</w:t>
      </w:r>
    </w:p>
    <w:p>
      <w:pPr>
        <w:autoSpaceDE w:val="0"/>
        <w:autoSpaceDN w:val="0"/>
        <w:adjustRightInd w:val="0"/>
        <w:spacing w:line="360" w:lineRule="auto"/>
        <w:ind w:firstLine="480" w:firstLineChars="200"/>
        <w:rPr>
          <w:rFonts w:ascii="宋体" w:hAnsi="宋体" w:cs="宋体"/>
          <w:kern w:val="0"/>
          <w:sz w:val="24"/>
        </w:rPr>
      </w:pPr>
      <w:r>
        <w:rPr>
          <w:rFonts w:ascii="宋体" w:hAnsi="宋体" w:cs="TimesNewRomanPSMT"/>
          <w:kern w:val="0"/>
          <w:sz w:val="24"/>
        </w:rPr>
        <w:t xml:space="preserve">4.3.2 </w:t>
      </w:r>
      <w:r>
        <w:rPr>
          <w:rFonts w:hint="eastAsia" w:ascii="宋体" w:hAnsi="宋体" w:cs="宋体"/>
          <w:kern w:val="0"/>
          <w:sz w:val="24"/>
        </w:rPr>
        <w:t>投标人修改或撤回已递交投标文件的书面通知应按照本章第</w:t>
      </w:r>
      <w:r>
        <w:rPr>
          <w:rFonts w:ascii="宋体" w:hAnsi="宋体" w:cs="TimesNewRomanPSMT"/>
          <w:kern w:val="0"/>
          <w:sz w:val="24"/>
        </w:rPr>
        <w:t xml:space="preserve">3.7.3 </w:t>
      </w:r>
      <w:r>
        <w:rPr>
          <w:rFonts w:hint="eastAsia" w:ascii="宋体" w:hAnsi="宋体" w:cs="宋体"/>
          <w:kern w:val="0"/>
          <w:sz w:val="24"/>
        </w:rPr>
        <w:t>项的要求签字或盖章。招标人收到书面通知后，向投标人出具签收凭证。</w:t>
      </w:r>
    </w:p>
    <w:p>
      <w:pPr>
        <w:autoSpaceDE w:val="0"/>
        <w:autoSpaceDN w:val="0"/>
        <w:adjustRightInd w:val="0"/>
        <w:spacing w:line="360" w:lineRule="auto"/>
        <w:ind w:firstLine="480" w:firstLineChars="200"/>
        <w:rPr>
          <w:rFonts w:ascii="宋体" w:hAnsi="宋体" w:cs="宋体"/>
          <w:kern w:val="0"/>
          <w:sz w:val="24"/>
        </w:rPr>
      </w:pPr>
      <w:r>
        <w:rPr>
          <w:rFonts w:ascii="宋体" w:hAnsi="宋体" w:cs="TimesNewRomanPSMT"/>
          <w:kern w:val="0"/>
          <w:sz w:val="24"/>
        </w:rPr>
        <w:t xml:space="preserve">4.3.3 </w:t>
      </w:r>
      <w:r>
        <w:rPr>
          <w:rFonts w:hint="eastAsia" w:ascii="宋体" w:hAnsi="宋体" w:cs="宋体"/>
          <w:kern w:val="0"/>
          <w:sz w:val="24"/>
        </w:rPr>
        <w:t>修改的内容为投标文件的组成部分。修改的投标文件应按照本章第</w:t>
      </w:r>
      <w:r>
        <w:rPr>
          <w:rFonts w:ascii="宋体" w:hAnsi="宋体" w:cs="TimesNewRomanPSMT"/>
          <w:kern w:val="0"/>
          <w:sz w:val="24"/>
        </w:rPr>
        <w:t xml:space="preserve">3 </w:t>
      </w:r>
      <w:r>
        <w:rPr>
          <w:rFonts w:hint="eastAsia" w:ascii="宋体" w:hAnsi="宋体" w:cs="宋体"/>
          <w:kern w:val="0"/>
          <w:sz w:val="24"/>
        </w:rPr>
        <w:t>条、第</w:t>
      </w:r>
      <w:r>
        <w:rPr>
          <w:rFonts w:ascii="宋体" w:hAnsi="宋体" w:cs="TimesNewRomanPSMT"/>
          <w:kern w:val="0"/>
          <w:sz w:val="24"/>
        </w:rPr>
        <w:t xml:space="preserve">4 </w:t>
      </w:r>
      <w:r>
        <w:rPr>
          <w:rFonts w:hint="eastAsia" w:ascii="宋体" w:hAnsi="宋体" w:cs="宋体"/>
          <w:kern w:val="0"/>
          <w:sz w:val="24"/>
        </w:rPr>
        <w:t>条规定进行编制、密封、标记和递交，并标明“修改”字样。</w:t>
      </w:r>
    </w:p>
    <w:p>
      <w:pPr>
        <w:autoSpaceDE w:val="0"/>
        <w:autoSpaceDN w:val="0"/>
        <w:adjustRightInd w:val="0"/>
        <w:spacing w:line="360" w:lineRule="auto"/>
        <w:jc w:val="left"/>
        <w:rPr>
          <w:rFonts w:ascii="黑体" w:eastAsia="黑体" w:cs="黑体"/>
          <w:kern w:val="0"/>
          <w:sz w:val="30"/>
          <w:szCs w:val="30"/>
        </w:rPr>
      </w:pPr>
      <w:r>
        <w:rPr>
          <w:rFonts w:ascii="TimesNewRomanPSMT" w:hAnsi="TimesNewRomanPSMT" w:cs="TimesNewRomanPSMT"/>
          <w:kern w:val="0"/>
          <w:sz w:val="30"/>
          <w:szCs w:val="30"/>
        </w:rPr>
        <w:t xml:space="preserve">5. </w:t>
      </w:r>
      <w:r>
        <w:rPr>
          <w:rFonts w:hint="eastAsia" w:ascii="黑体" w:eastAsia="黑体" w:cs="黑体"/>
          <w:kern w:val="0"/>
          <w:sz w:val="30"/>
          <w:szCs w:val="30"/>
        </w:rPr>
        <w:t>开标</w:t>
      </w:r>
    </w:p>
    <w:p>
      <w:pPr>
        <w:autoSpaceDE w:val="0"/>
        <w:autoSpaceDN w:val="0"/>
        <w:adjustRightInd w:val="0"/>
        <w:spacing w:line="360" w:lineRule="auto"/>
        <w:jc w:val="left"/>
        <w:rPr>
          <w:rFonts w:ascii="黑体" w:eastAsia="黑体" w:cs="黑体"/>
          <w:kern w:val="0"/>
          <w:sz w:val="28"/>
          <w:szCs w:val="28"/>
        </w:rPr>
      </w:pPr>
      <w:r>
        <w:rPr>
          <w:rFonts w:ascii="TimesNewRomanPSMT" w:hAnsi="TimesNewRomanPSMT" w:cs="TimesNewRomanPSMT"/>
          <w:kern w:val="0"/>
          <w:sz w:val="28"/>
          <w:szCs w:val="28"/>
        </w:rPr>
        <w:t xml:space="preserve">5.1 </w:t>
      </w:r>
      <w:r>
        <w:rPr>
          <w:rFonts w:hint="eastAsia" w:ascii="黑体" w:eastAsia="黑体" w:cs="黑体"/>
          <w:kern w:val="0"/>
          <w:sz w:val="28"/>
          <w:szCs w:val="28"/>
        </w:rPr>
        <w:t>开标时间和地点</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招标人在本章第</w:t>
      </w:r>
      <w:r>
        <w:rPr>
          <w:rFonts w:ascii="宋体" w:hAnsi="宋体" w:cs="TimesNewRomanPSMT"/>
          <w:kern w:val="0"/>
          <w:sz w:val="24"/>
        </w:rPr>
        <w:t xml:space="preserve">2.2.2 </w:t>
      </w:r>
      <w:r>
        <w:rPr>
          <w:rFonts w:hint="eastAsia" w:ascii="宋体" w:hAnsi="宋体" w:cs="宋体"/>
          <w:kern w:val="0"/>
          <w:sz w:val="24"/>
        </w:rPr>
        <w:t>项规定的投标截止时间（开标时间）和投标人须知前附表规定的地点公开开标，并邀请所有投标人的法定代表人或其委托代理人准时参加。</w:t>
      </w:r>
    </w:p>
    <w:p>
      <w:pPr>
        <w:autoSpaceDE w:val="0"/>
        <w:autoSpaceDN w:val="0"/>
        <w:adjustRightInd w:val="0"/>
        <w:spacing w:line="360" w:lineRule="auto"/>
        <w:jc w:val="left"/>
        <w:rPr>
          <w:rFonts w:ascii="黑体" w:eastAsia="黑体" w:cs="黑体"/>
          <w:kern w:val="0"/>
          <w:sz w:val="28"/>
          <w:szCs w:val="28"/>
        </w:rPr>
      </w:pPr>
      <w:r>
        <w:rPr>
          <w:rFonts w:ascii="TimesNewRomanPSMT" w:hAnsi="TimesNewRomanPSMT" w:cs="TimesNewRomanPSMT"/>
          <w:kern w:val="0"/>
          <w:sz w:val="28"/>
          <w:szCs w:val="28"/>
        </w:rPr>
        <w:t xml:space="preserve">5.2 </w:t>
      </w:r>
      <w:r>
        <w:rPr>
          <w:rFonts w:hint="eastAsia" w:ascii="黑体" w:eastAsia="黑体" w:cs="黑体"/>
          <w:kern w:val="0"/>
          <w:sz w:val="28"/>
          <w:szCs w:val="28"/>
        </w:rPr>
        <w:t>开标程序</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主持人按下列程序进行开标：</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w:t>
      </w:r>
      <w:r>
        <w:rPr>
          <w:rFonts w:ascii="宋体" w:hAnsi="宋体" w:cs="TimesNewRomanPSMT"/>
          <w:kern w:val="0"/>
          <w:sz w:val="24"/>
        </w:rPr>
        <w:t>1</w:t>
      </w:r>
      <w:r>
        <w:rPr>
          <w:rFonts w:hint="eastAsia" w:ascii="宋体" w:hAnsi="宋体" w:cs="宋体"/>
          <w:kern w:val="0"/>
          <w:sz w:val="24"/>
        </w:rPr>
        <w:t>）宣布开标纪律；</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w:t>
      </w:r>
      <w:r>
        <w:rPr>
          <w:rFonts w:ascii="宋体" w:hAnsi="宋体" w:cs="TimesNewRomanPSMT"/>
          <w:kern w:val="0"/>
          <w:sz w:val="24"/>
        </w:rPr>
        <w:t>2</w:t>
      </w:r>
      <w:r>
        <w:rPr>
          <w:rFonts w:hint="eastAsia" w:ascii="宋体" w:hAnsi="宋体" w:cs="宋体"/>
          <w:kern w:val="0"/>
          <w:sz w:val="24"/>
        </w:rPr>
        <w:t>）公布在投标截止时间前递交投标文件的投标人名称，并点名确认投标人是否派人到场；</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w:t>
      </w:r>
      <w:r>
        <w:rPr>
          <w:rFonts w:ascii="宋体" w:hAnsi="宋体" w:cs="TimesNewRomanPSMT"/>
          <w:kern w:val="0"/>
          <w:sz w:val="24"/>
        </w:rPr>
        <w:t>3</w:t>
      </w:r>
      <w:r>
        <w:rPr>
          <w:rFonts w:hint="eastAsia" w:ascii="宋体" w:hAnsi="宋体" w:cs="宋体"/>
          <w:kern w:val="0"/>
          <w:sz w:val="24"/>
        </w:rPr>
        <w:t>）宣布开标人、唱标人、记录人、监标人等有关人员姓名；</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w:t>
      </w:r>
      <w:r>
        <w:rPr>
          <w:rFonts w:ascii="宋体" w:hAnsi="宋体" w:cs="TimesNewRomanPSMT"/>
          <w:kern w:val="0"/>
          <w:sz w:val="24"/>
        </w:rPr>
        <w:t>4</w:t>
      </w:r>
      <w:r>
        <w:rPr>
          <w:rFonts w:hint="eastAsia" w:ascii="宋体" w:hAnsi="宋体" w:cs="宋体"/>
          <w:kern w:val="0"/>
          <w:sz w:val="24"/>
        </w:rPr>
        <w:t>）按照投标人须知前附表规定检查投标文件的密封情况；</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w:t>
      </w:r>
      <w:r>
        <w:rPr>
          <w:rFonts w:ascii="宋体" w:hAnsi="宋体" w:cs="TimesNewRomanPSMT"/>
          <w:kern w:val="0"/>
          <w:sz w:val="24"/>
        </w:rPr>
        <w:t>5</w:t>
      </w:r>
      <w:r>
        <w:rPr>
          <w:rFonts w:hint="eastAsia" w:ascii="宋体" w:hAnsi="宋体" w:cs="宋体"/>
          <w:kern w:val="0"/>
          <w:sz w:val="24"/>
        </w:rPr>
        <w:t>）按照投标人须知前附表的规定确定并宣布投标文件开标顺序；</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w:t>
      </w:r>
      <w:r>
        <w:rPr>
          <w:rFonts w:ascii="宋体" w:hAnsi="宋体" w:cs="TimesNewRomanPSMT"/>
          <w:kern w:val="0"/>
          <w:sz w:val="24"/>
        </w:rPr>
        <w:t>6</w:t>
      </w:r>
      <w:r>
        <w:rPr>
          <w:rFonts w:hint="eastAsia" w:ascii="宋体" w:hAnsi="宋体" w:cs="宋体"/>
          <w:kern w:val="0"/>
          <w:sz w:val="24"/>
        </w:rPr>
        <w:t>）设有标底的，公布标底；</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w:t>
      </w:r>
      <w:r>
        <w:rPr>
          <w:rFonts w:ascii="宋体" w:hAnsi="宋体" w:cs="TimesNewRomanPSMT"/>
          <w:kern w:val="0"/>
          <w:sz w:val="24"/>
        </w:rPr>
        <w:t>7</w:t>
      </w:r>
      <w:r>
        <w:rPr>
          <w:rFonts w:hint="eastAsia" w:ascii="宋体" w:hAnsi="宋体" w:cs="宋体"/>
          <w:kern w:val="0"/>
          <w:sz w:val="24"/>
        </w:rPr>
        <w:t>）按照宣布的开标顺序当众开标，公布投标人名称、标段名称、投标保证金的递交情况、投标报价、质量目标、工期及其他内容，并记录在案；</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w:t>
      </w:r>
      <w:r>
        <w:rPr>
          <w:rFonts w:ascii="宋体" w:hAnsi="宋体" w:cs="TimesNewRomanPSMT"/>
          <w:kern w:val="0"/>
          <w:sz w:val="24"/>
        </w:rPr>
        <w:t>8</w:t>
      </w:r>
      <w:r>
        <w:rPr>
          <w:rFonts w:hint="eastAsia" w:ascii="宋体" w:hAnsi="宋体" w:cs="宋体"/>
          <w:kern w:val="0"/>
          <w:sz w:val="24"/>
        </w:rPr>
        <w:t>）投标人代表、招标人代表、监标人、记录人等有关人员在开标记录上签字确认；</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w:t>
      </w:r>
      <w:r>
        <w:rPr>
          <w:rFonts w:ascii="宋体" w:hAnsi="宋体" w:cs="TimesNewRomanPSMT"/>
          <w:kern w:val="0"/>
          <w:sz w:val="24"/>
        </w:rPr>
        <w:t>9</w:t>
      </w:r>
      <w:r>
        <w:rPr>
          <w:rFonts w:hint="eastAsia" w:ascii="宋体" w:hAnsi="宋体" w:cs="宋体"/>
          <w:kern w:val="0"/>
          <w:sz w:val="24"/>
        </w:rPr>
        <w:t>）开标结束。</w:t>
      </w:r>
    </w:p>
    <w:p>
      <w:pPr>
        <w:autoSpaceDE w:val="0"/>
        <w:autoSpaceDN w:val="0"/>
        <w:adjustRightInd w:val="0"/>
        <w:spacing w:line="360" w:lineRule="auto"/>
        <w:jc w:val="left"/>
        <w:rPr>
          <w:rFonts w:ascii="黑体" w:eastAsia="黑体" w:cs="黑体"/>
          <w:kern w:val="0"/>
          <w:sz w:val="30"/>
          <w:szCs w:val="30"/>
        </w:rPr>
      </w:pPr>
      <w:r>
        <w:rPr>
          <w:rFonts w:ascii="TimesNewRomanPSMT" w:hAnsi="TimesNewRomanPSMT" w:cs="TimesNewRomanPSMT"/>
          <w:kern w:val="0"/>
          <w:sz w:val="30"/>
          <w:szCs w:val="30"/>
        </w:rPr>
        <w:t xml:space="preserve">6. </w:t>
      </w:r>
      <w:r>
        <w:rPr>
          <w:rFonts w:hint="eastAsia" w:ascii="黑体" w:eastAsia="黑体" w:cs="黑体"/>
          <w:kern w:val="0"/>
          <w:sz w:val="30"/>
          <w:szCs w:val="30"/>
        </w:rPr>
        <w:t>评标</w:t>
      </w:r>
    </w:p>
    <w:p>
      <w:pPr>
        <w:autoSpaceDE w:val="0"/>
        <w:autoSpaceDN w:val="0"/>
        <w:adjustRightInd w:val="0"/>
        <w:spacing w:line="360" w:lineRule="auto"/>
        <w:jc w:val="left"/>
        <w:rPr>
          <w:rFonts w:ascii="黑体" w:eastAsia="黑体" w:cs="黑体"/>
          <w:kern w:val="0"/>
          <w:sz w:val="28"/>
          <w:szCs w:val="28"/>
        </w:rPr>
      </w:pPr>
      <w:r>
        <w:rPr>
          <w:rFonts w:ascii="TimesNewRomanPSMT" w:hAnsi="TimesNewRomanPSMT" w:cs="TimesNewRomanPSMT"/>
          <w:kern w:val="0"/>
          <w:sz w:val="28"/>
          <w:szCs w:val="28"/>
        </w:rPr>
        <w:t xml:space="preserve">6.1 </w:t>
      </w:r>
      <w:r>
        <w:rPr>
          <w:rFonts w:hint="eastAsia" w:ascii="黑体" w:eastAsia="黑体" w:cs="黑体"/>
          <w:kern w:val="0"/>
          <w:sz w:val="28"/>
          <w:szCs w:val="28"/>
        </w:rPr>
        <w:t>评标委员会</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6.1.1 </w:t>
      </w:r>
      <w:r>
        <w:rPr>
          <w:rFonts w:hint="eastAsia" w:ascii="宋体" w:hAnsi="宋体" w:cs="宋体"/>
          <w:kern w:val="0"/>
          <w:sz w:val="24"/>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6.1.2 </w:t>
      </w:r>
      <w:r>
        <w:rPr>
          <w:rFonts w:hint="eastAsia" w:ascii="宋体" w:hAnsi="宋体" w:cs="宋体"/>
          <w:kern w:val="0"/>
          <w:sz w:val="24"/>
        </w:rPr>
        <w:t>评标委员会成员有下列情形之一的，应当回避：</w:t>
      </w:r>
    </w:p>
    <w:p>
      <w:pPr>
        <w:autoSpaceDE w:val="0"/>
        <w:autoSpaceDN w:val="0"/>
        <w:adjustRightInd w:val="0"/>
        <w:spacing w:line="360" w:lineRule="auto"/>
        <w:ind w:firstLine="960" w:firstLineChars="400"/>
        <w:jc w:val="left"/>
        <w:rPr>
          <w:rFonts w:ascii="宋体" w:hAnsi="宋体" w:cs="宋体"/>
          <w:kern w:val="0"/>
          <w:sz w:val="24"/>
        </w:rPr>
      </w:pPr>
      <w:r>
        <w:rPr>
          <w:rFonts w:hint="eastAsia" w:ascii="宋体" w:hAnsi="宋体" w:cs="宋体"/>
          <w:kern w:val="0"/>
          <w:sz w:val="24"/>
        </w:rPr>
        <w:t>（</w:t>
      </w:r>
      <w:r>
        <w:rPr>
          <w:rFonts w:ascii="宋体" w:hAnsi="宋体" w:cs="TimesNewRomanPSMT"/>
          <w:kern w:val="0"/>
          <w:sz w:val="24"/>
        </w:rPr>
        <w:t>1</w:t>
      </w:r>
      <w:r>
        <w:rPr>
          <w:rFonts w:hint="eastAsia" w:ascii="宋体" w:hAnsi="宋体" w:cs="宋体"/>
          <w:kern w:val="0"/>
          <w:sz w:val="24"/>
        </w:rPr>
        <w:t>）招标人或投标人的主要负责人的近亲属；</w:t>
      </w:r>
    </w:p>
    <w:p>
      <w:pPr>
        <w:autoSpaceDE w:val="0"/>
        <w:autoSpaceDN w:val="0"/>
        <w:adjustRightInd w:val="0"/>
        <w:spacing w:line="360" w:lineRule="auto"/>
        <w:ind w:firstLine="960" w:firstLineChars="400"/>
        <w:jc w:val="left"/>
        <w:rPr>
          <w:rFonts w:ascii="宋体" w:hAnsi="宋体" w:cs="宋体"/>
          <w:kern w:val="0"/>
          <w:sz w:val="24"/>
        </w:rPr>
      </w:pPr>
      <w:r>
        <w:rPr>
          <w:rFonts w:hint="eastAsia" w:ascii="宋体" w:hAnsi="宋体" w:cs="宋体"/>
          <w:kern w:val="0"/>
          <w:sz w:val="24"/>
        </w:rPr>
        <w:t>（</w:t>
      </w:r>
      <w:r>
        <w:rPr>
          <w:rFonts w:ascii="宋体" w:hAnsi="宋体" w:cs="TimesNewRomanPSMT"/>
          <w:kern w:val="0"/>
          <w:sz w:val="24"/>
        </w:rPr>
        <w:t>2</w:t>
      </w:r>
      <w:r>
        <w:rPr>
          <w:rFonts w:hint="eastAsia" w:ascii="宋体" w:hAnsi="宋体" w:cs="宋体"/>
          <w:kern w:val="0"/>
          <w:sz w:val="24"/>
        </w:rPr>
        <w:t>）项目主管部门或者行政监督部门的人员；</w:t>
      </w:r>
    </w:p>
    <w:p>
      <w:pPr>
        <w:autoSpaceDE w:val="0"/>
        <w:autoSpaceDN w:val="0"/>
        <w:adjustRightInd w:val="0"/>
        <w:spacing w:line="360" w:lineRule="auto"/>
        <w:ind w:firstLine="960" w:firstLineChars="400"/>
        <w:jc w:val="left"/>
        <w:rPr>
          <w:rFonts w:ascii="宋体" w:hAnsi="宋体" w:cs="宋体"/>
          <w:kern w:val="0"/>
          <w:sz w:val="24"/>
        </w:rPr>
      </w:pPr>
      <w:r>
        <w:rPr>
          <w:rFonts w:hint="eastAsia" w:ascii="宋体" w:hAnsi="宋体" w:cs="宋体"/>
          <w:kern w:val="0"/>
          <w:sz w:val="24"/>
        </w:rPr>
        <w:t>（</w:t>
      </w:r>
      <w:r>
        <w:rPr>
          <w:rFonts w:ascii="宋体" w:hAnsi="宋体" w:cs="TimesNewRomanPSMT"/>
          <w:kern w:val="0"/>
          <w:sz w:val="24"/>
        </w:rPr>
        <w:t>3</w:t>
      </w:r>
      <w:r>
        <w:rPr>
          <w:rFonts w:hint="eastAsia" w:ascii="宋体" w:hAnsi="宋体" w:cs="宋体"/>
          <w:kern w:val="0"/>
          <w:sz w:val="24"/>
        </w:rPr>
        <w:t>）与投标人有经济利益关系，可能影响对投标公正评审的；</w:t>
      </w:r>
    </w:p>
    <w:p>
      <w:pPr>
        <w:autoSpaceDE w:val="0"/>
        <w:autoSpaceDN w:val="0"/>
        <w:adjustRightInd w:val="0"/>
        <w:spacing w:line="360" w:lineRule="auto"/>
        <w:ind w:firstLine="960" w:firstLineChars="400"/>
        <w:jc w:val="left"/>
        <w:rPr>
          <w:rFonts w:ascii="宋体" w:hAnsi="宋体" w:cs="宋体"/>
          <w:kern w:val="0"/>
          <w:sz w:val="24"/>
        </w:rPr>
      </w:pPr>
      <w:r>
        <w:rPr>
          <w:rFonts w:hint="eastAsia" w:ascii="宋体" w:hAnsi="宋体" w:cs="宋体"/>
          <w:kern w:val="0"/>
          <w:sz w:val="24"/>
        </w:rPr>
        <w:t>（</w:t>
      </w:r>
      <w:r>
        <w:rPr>
          <w:rFonts w:ascii="宋体" w:hAnsi="宋体" w:cs="TimesNewRomanPSMT"/>
          <w:kern w:val="0"/>
          <w:sz w:val="24"/>
        </w:rPr>
        <w:t>4</w:t>
      </w:r>
      <w:r>
        <w:rPr>
          <w:rFonts w:hint="eastAsia" w:ascii="宋体" w:hAnsi="宋体" w:cs="宋体"/>
          <w:kern w:val="0"/>
          <w:sz w:val="24"/>
        </w:rPr>
        <w:t>）曾因在招标、评标以及其他与招标投标有关活动中从事违法行为而受过行政处罚或刑事处罚的。</w:t>
      </w:r>
    </w:p>
    <w:p>
      <w:pPr>
        <w:autoSpaceDE w:val="0"/>
        <w:autoSpaceDN w:val="0"/>
        <w:adjustRightInd w:val="0"/>
        <w:spacing w:line="360" w:lineRule="auto"/>
        <w:jc w:val="left"/>
        <w:rPr>
          <w:rFonts w:ascii="黑体" w:eastAsia="黑体" w:cs="黑体"/>
          <w:kern w:val="0"/>
          <w:sz w:val="28"/>
          <w:szCs w:val="28"/>
        </w:rPr>
      </w:pPr>
      <w:r>
        <w:rPr>
          <w:rFonts w:ascii="TimesNewRomanPSMT" w:hAnsi="TimesNewRomanPSMT" w:cs="TimesNewRomanPSMT"/>
          <w:kern w:val="0"/>
          <w:sz w:val="28"/>
          <w:szCs w:val="28"/>
        </w:rPr>
        <w:t xml:space="preserve">6.2 </w:t>
      </w:r>
      <w:r>
        <w:rPr>
          <w:rFonts w:hint="eastAsia" w:ascii="黑体" w:eastAsia="黑体" w:cs="黑体"/>
          <w:kern w:val="0"/>
          <w:sz w:val="28"/>
          <w:szCs w:val="28"/>
        </w:rPr>
        <w:t>评标原则</w:t>
      </w:r>
    </w:p>
    <w:p>
      <w:pPr>
        <w:autoSpaceDE w:val="0"/>
        <w:autoSpaceDN w:val="0"/>
        <w:adjustRightInd w:val="0"/>
        <w:spacing w:line="360" w:lineRule="auto"/>
        <w:ind w:firstLine="480" w:firstLineChars="200"/>
        <w:jc w:val="left"/>
        <w:rPr>
          <w:rFonts w:ascii="宋体" w:cs="宋体"/>
          <w:kern w:val="0"/>
          <w:sz w:val="24"/>
        </w:rPr>
      </w:pPr>
      <w:r>
        <w:rPr>
          <w:rFonts w:hint="eastAsia" w:ascii="宋体" w:cs="宋体"/>
          <w:kern w:val="0"/>
          <w:sz w:val="24"/>
        </w:rPr>
        <w:t>评标活动遵循公平、公正、科学和择优的原则。</w:t>
      </w:r>
    </w:p>
    <w:p>
      <w:pPr>
        <w:autoSpaceDE w:val="0"/>
        <w:autoSpaceDN w:val="0"/>
        <w:adjustRightInd w:val="0"/>
        <w:spacing w:line="360" w:lineRule="auto"/>
        <w:jc w:val="left"/>
        <w:rPr>
          <w:rFonts w:ascii="黑体" w:eastAsia="黑体" w:cs="黑体"/>
          <w:kern w:val="0"/>
          <w:sz w:val="28"/>
          <w:szCs w:val="28"/>
        </w:rPr>
      </w:pPr>
      <w:r>
        <w:rPr>
          <w:rFonts w:ascii="TimesNewRomanPSMT" w:hAnsi="TimesNewRomanPSMT" w:cs="TimesNewRomanPSMT"/>
          <w:kern w:val="0"/>
          <w:sz w:val="28"/>
          <w:szCs w:val="28"/>
        </w:rPr>
        <w:t xml:space="preserve">6.3 </w:t>
      </w:r>
      <w:r>
        <w:rPr>
          <w:rFonts w:hint="eastAsia" w:ascii="黑体" w:eastAsia="黑体" w:cs="黑体"/>
          <w:kern w:val="0"/>
          <w:sz w:val="28"/>
          <w:szCs w:val="28"/>
        </w:rPr>
        <w:t>评标</w:t>
      </w:r>
    </w:p>
    <w:p>
      <w:pPr>
        <w:autoSpaceDE w:val="0"/>
        <w:autoSpaceDN w:val="0"/>
        <w:adjustRightInd w:val="0"/>
        <w:spacing w:line="360" w:lineRule="auto"/>
        <w:ind w:firstLine="480" w:firstLineChars="200"/>
        <w:jc w:val="left"/>
        <w:rPr>
          <w:rFonts w:ascii="宋体" w:cs="宋体"/>
          <w:kern w:val="0"/>
          <w:sz w:val="24"/>
        </w:rPr>
      </w:pPr>
      <w:r>
        <w:rPr>
          <w:rFonts w:hint="eastAsia" w:ascii="宋体" w:cs="宋体"/>
          <w:kern w:val="0"/>
          <w:sz w:val="24"/>
        </w:rPr>
        <w:t>评标委员会按照第三章“评标办法”规定的方法、评审因素、标准和程序对投标文件进行评审。第三章“评标办法”没有规定的方法、评审因素和标准，不作为评标依据。</w:t>
      </w:r>
    </w:p>
    <w:p>
      <w:pPr>
        <w:autoSpaceDE w:val="0"/>
        <w:autoSpaceDN w:val="0"/>
        <w:adjustRightInd w:val="0"/>
        <w:spacing w:line="360" w:lineRule="auto"/>
        <w:jc w:val="left"/>
        <w:rPr>
          <w:rFonts w:ascii="黑体" w:eastAsia="黑体" w:cs="黑体"/>
          <w:kern w:val="0"/>
          <w:sz w:val="30"/>
          <w:szCs w:val="30"/>
        </w:rPr>
      </w:pPr>
      <w:r>
        <w:rPr>
          <w:rFonts w:ascii="TimesNewRomanPSMT" w:hAnsi="TimesNewRomanPSMT" w:cs="TimesNewRomanPSMT"/>
          <w:kern w:val="0"/>
          <w:sz w:val="30"/>
          <w:szCs w:val="30"/>
        </w:rPr>
        <w:t xml:space="preserve">7. </w:t>
      </w:r>
      <w:r>
        <w:rPr>
          <w:rFonts w:hint="eastAsia" w:ascii="黑体" w:eastAsia="黑体" w:cs="黑体"/>
          <w:kern w:val="0"/>
          <w:sz w:val="30"/>
          <w:szCs w:val="30"/>
        </w:rPr>
        <w:t>合同授予</w:t>
      </w:r>
    </w:p>
    <w:p>
      <w:pPr>
        <w:autoSpaceDE w:val="0"/>
        <w:autoSpaceDN w:val="0"/>
        <w:adjustRightInd w:val="0"/>
        <w:spacing w:line="360" w:lineRule="auto"/>
        <w:jc w:val="left"/>
        <w:rPr>
          <w:rFonts w:ascii="黑体" w:eastAsia="黑体" w:cs="黑体"/>
          <w:kern w:val="0"/>
          <w:sz w:val="28"/>
          <w:szCs w:val="28"/>
        </w:rPr>
      </w:pPr>
      <w:r>
        <w:rPr>
          <w:rFonts w:ascii="TimesNewRomanPSMT" w:hAnsi="TimesNewRomanPSMT" w:cs="TimesNewRomanPSMT"/>
          <w:kern w:val="0"/>
          <w:sz w:val="28"/>
          <w:szCs w:val="28"/>
        </w:rPr>
        <w:t xml:space="preserve">7.1 </w:t>
      </w:r>
      <w:r>
        <w:rPr>
          <w:rFonts w:hint="eastAsia" w:ascii="黑体" w:eastAsia="黑体" w:cs="黑体"/>
          <w:kern w:val="0"/>
          <w:sz w:val="28"/>
          <w:szCs w:val="28"/>
        </w:rPr>
        <w:t>定标方式</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pacing w:line="360" w:lineRule="auto"/>
        <w:jc w:val="left"/>
        <w:rPr>
          <w:rFonts w:ascii="黑体" w:eastAsia="黑体" w:cs="黑体"/>
          <w:kern w:val="0"/>
          <w:sz w:val="28"/>
          <w:szCs w:val="28"/>
        </w:rPr>
      </w:pPr>
      <w:r>
        <w:rPr>
          <w:rFonts w:ascii="TimesNewRomanPSMT" w:hAnsi="TimesNewRomanPSMT" w:cs="TimesNewRomanPSMT"/>
          <w:kern w:val="0"/>
          <w:sz w:val="28"/>
          <w:szCs w:val="28"/>
        </w:rPr>
        <w:t xml:space="preserve">7.2 </w:t>
      </w:r>
      <w:r>
        <w:rPr>
          <w:rFonts w:hint="eastAsia" w:ascii="黑体" w:eastAsia="黑体" w:cs="黑体"/>
          <w:kern w:val="0"/>
          <w:sz w:val="28"/>
          <w:szCs w:val="28"/>
        </w:rPr>
        <w:t>中标通知</w:t>
      </w:r>
    </w:p>
    <w:p>
      <w:pPr>
        <w:autoSpaceDE w:val="0"/>
        <w:autoSpaceDN w:val="0"/>
        <w:adjustRightInd w:val="0"/>
        <w:spacing w:line="360" w:lineRule="auto"/>
        <w:ind w:firstLine="480" w:firstLineChars="200"/>
        <w:jc w:val="left"/>
        <w:rPr>
          <w:rFonts w:ascii="宋体" w:cs="宋体"/>
          <w:kern w:val="0"/>
          <w:sz w:val="24"/>
        </w:rPr>
      </w:pPr>
      <w:r>
        <w:rPr>
          <w:rFonts w:hint="eastAsia" w:ascii="宋体" w:cs="宋体"/>
          <w:kern w:val="0"/>
          <w:sz w:val="24"/>
        </w:rPr>
        <w:t>在本章第</w:t>
      </w:r>
      <w:r>
        <w:rPr>
          <w:rFonts w:ascii="TimesNewRomanPSMT" w:hAnsi="TimesNewRomanPSMT" w:cs="TimesNewRomanPSMT"/>
          <w:kern w:val="0"/>
          <w:sz w:val="24"/>
        </w:rPr>
        <w:t xml:space="preserve">3.3 </w:t>
      </w:r>
      <w:r>
        <w:rPr>
          <w:rFonts w:hint="eastAsia" w:ascii="宋体" w:cs="宋体"/>
          <w:kern w:val="0"/>
          <w:sz w:val="24"/>
        </w:rPr>
        <w:t>款规定的投标有效期内，招标人以书面形式向中标人发出中标通知书，同时将中标结果通知未中标的投标人。</w:t>
      </w:r>
    </w:p>
    <w:p>
      <w:pPr>
        <w:autoSpaceDE w:val="0"/>
        <w:autoSpaceDN w:val="0"/>
        <w:adjustRightInd w:val="0"/>
        <w:spacing w:line="360" w:lineRule="auto"/>
        <w:jc w:val="left"/>
        <w:rPr>
          <w:rFonts w:ascii="黑体" w:eastAsia="黑体" w:cs="黑体"/>
          <w:kern w:val="0"/>
          <w:sz w:val="28"/>
          <w:szCs w:val="28"/>
        </w:rPr>
      </w:pPr>
      <w:r>
        <w:rPr>
          <w:rFonts w:ascii="TimesNewRomanPSMT" w:hAnsi="TimesNewRomanPSMT" w:cs="TimesNewRomanPSMT"/>
          <w:kern w:val="0"/>
          <w:sz w:val="28"/>
          <w:szCs w:val="28"/>
        </w:rPr>
        <w:t xml:space="preserve">7.3 </w:t>
      </w:r>
      <w:r>
        <w:rPr>
          <w:rFonts w:hint="eastAsia" w:ascii="黑体" w:eastAsia="黑体" w:cs="黑体"/>
          <w:kern w:val="0"/>
          <w:sz w:val="28"/>
          <w:szCs w:val="28"/>
        </w:rPr>
        <w:t>履约担保</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7.3.1 </w:t>
      </w:r>
      <w:r>
        <w:rPr>
          <w:rFonts w:hint="eastAsia" w:ascii="宋体" w:hAnsi="宋体" w:cs="宋体"/>
          <w:kern w:val="0"/>
          <w:sz w:val="24"/>
        </w:rPr>
        <w:t>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7.3.2 </w:t>
      </w:r>
      <w:r>
        <w:rPr>
          <w:rFonts w:hint="eastAsia" w:ascii="宋体" w:hAnsi="宋体" w:cs="宋体"/>
          <w:kern w:val="0"/>
          <w:sz w:val="24"/>
        </w:rPr>
        <w:t>中标人不能按本章第</w:t>
      </w:r>
      <w:r>
        <w:rPr>
          <w:rFonts w:ascii="宋体" w:hAnsi="宋体" w:cs="TimesNewRomanPSMT"/>
          <w:kern w:val="0"/>
          <w:sz w:val="24"/>
        </w:rPr>
        <w:t xml:space="preserve">7.3.1 </w:t>
      </w:r>
      <w:r>
        <w:rPr>
          <w:rFonts w:hint="eastAsia" w:ascii="宋体" w:hAnsi="宋体" w:cs="宋体"/>
          <w:kern w:val="0"/>
          <w:sz w:val="24"/>
        </w:rPr>
        <w:t>项要求提交履约担保的，视为放弃中标，其投标保证金不予退还，给招标人造成的损失超过投标保证金数额的，中标人还应当对超过部分予以赔偿。</w:t>
      </w:r>
    </w:p>
    <w:p>
      <w:pPr>
        <w:autoSpaceDE w:val="0"/>
        <w:autoSpaceDN w:val="0"/>
        <w:adjustRightInd w:val="0"/>
        <w:spacing w:line="360" w:lineRule="auto"/>
        <w:ind w:firstLine="480" w:firstLineChars="200"/>
        <w:jc w:val="left"/>
        <w:rPr>
          <w:rFonts w:ascii="宋体" w:hAnsi="宋体" w:cs="宋体"/>
          <w:kern w:val="0"/>
          <w:sz w:val="24"/>
        </w:rPr>
      </w:pPr>
    </w:p>
    <w:p>
      <w:pPr>
        <w:autoSpaceDE w:val="0"/>
        <w:autoSpaceDN w:val="0"/>
        <w:adjustRightInd w:val="0"/>
        <w:spacing w:line="360" w:lineRule="auto"/>
        <w:jc w:val="left"/>
        <w:rPr>
          <w:rFonts w:ascii="黑体" w:eastAsia="黑体" w:cs="黑体"/>
          <w:kern w:val="0"/>
          <w:sz w:val="28"/>
          <w:szCs w:val="28"/>
        </w:rPr>
      </w:pPr>
      <w:r>
        <w:rPr>
          <w:rFonts w:ascii="TimesNewRomanPSMT" w:hAnsi="TimesNewRomanPSMT" w:cs="TimesNewRomanPSMT"/>
          <w:kern w:val="0"/>
          <w:sz w:val="28"/>
          <w:szCs w:val="28"/>
        </w:rPr>
        <w:t xml:space="preserve">7.4 </w:t>
      </w:r>
      <w:r>
        <w:rPr>
          <w:rFonts w:hint="eastAsia" w:ascii="黑体" w:eastAsia="黑体" w:cs="黑体"/>
          <w:kern w:val="0"/>
          <w:sz w:val="28"/>
          <w:szCs w:val="28"/>
        </w:rPr>
        <w:t>签订合同</w:t>
      </w:r>
    </w:p>
    <w:p>
      <w:pPr>
        <w:autoSpaceDE w:val="0"/>
        <w:autoSpaceDN w:val="0"/>
        <w:adjustRightInd w:val="0"/>
        <w:spacing w:line="360" w:lineRule="auto"/>
        <w:ind w:firstLine="480" w:firstLineChars="200"/>
        <w:jc w:val="left"/>
        <w:rPr>
          <w:rFonts w:ascii="宋体" w:cs="宋体"/>
          <w:kern w:val="0"/>
          <w:sz w:val="24"/>
        </w:rPr>
      </w:pPr>
      <w:r>
        <w:rPr>
          <w:rFonts w:ascii="TimesNewRomanPSMT" w:hAnsi="TimesNewRomanPSMT" w:cs="TimesNewRomanPSMT"/>
          <w:kern w:val="0"/>
          <w:sz w:val="24"/>
        </w:rPr>
        <w:t xml:space="preserve">7.4.1 </w:t>
      </w:r>
      <w:r>
        <w:rPr>
          <w:rFonts w:hint="eastAsia" w:ascii="宋体" w:cs="宋体"/>
          <w:kern w:val="0"/>
          <w:sz w:val="24"/>
        </w:rPr>
        <w:t>招标人和中标人应当自中标通知书发出之日起</w:t>
      </w:r>
      <w:r>
        <w:rPr>
          <w:rFonts w:ascii="TimesNewRomanPSMT" w:hAnsi="TimesNewRomanPSMT" w:cs="TimesNewRomanPSMT"/>
          <w:kern w:val="0"/>
          <w:sz w:val="24"/>
        </w:rPr>
        <w:t xml:space="preserve">30 </w:t>
      </w:r>
      <w:r>
        <w:rPr>
          <w:rFonts w:hint="eastAsia" w:ascii="宋体" w:cs="宋体"/>
          <w:kern w:val="0"/>
          <w:sz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7.4.2 </w:t>
      </w:r>
      <w:r>
        <w:rPr>
          <w:rFonts w:hint="eastAsia" w:ascii="宋体" w:hAnsi="宋体" w:cs="宋体"/>
          <w:kern w:val="0"/>
          <w:sz w:val="24"/>
        </w:rPr>
        <w:t>发出中标通知书后，招标人无正当理由拒签合同的，招标人向中标人退还投标保证金；给中标人造成损失的，还应当赔偿损失。</w:t>
      </w:r>
    </w:p>
    <w:p>
      <w:pPr>
        <w:autoSpaceDE w:val="0"/>
        <w:autoSpaceDN w:val="0"/>
        <w:adjustRightInd w:val="0"/>
        <w:spacing w:line="360" w:lineRule="auto"/>
        <w:jc w:val="left"/>
        <w:rPr>
          <w:rFonts w:ascii="黑体" w:eastAsia="黑体" w:cs="黑体"/>
          <w:kern w:val="0"/>
          <w:sz w:val="30"/>
          <w:szCs w:val="30"/>
        </w:rPr>
      </w:pPr>
      <w:r>
        <w:rPr>
          <w:rFonts w:ascii="TimesNewRomanPSMT" w:hAnsi="TimesNewRomanPSMT" w:cs="TimesNewRomanPSMT"/>
          <w:kern w:val="0"/>
          <w:sz w:val="30"/>
          <w:szCs w:val="30"/>
        </w:rPr>
        <w:t xml:space="preserve">8. </w:t>
      </w:r>
      <w:r>
        <w:rPr>
          <w:rFonts w:hint="eastAsia" w:ascii="黑体" w:eastAsia="黑体" w:cs="黑体"/>
          <w:kern w:val="0"/>
          <w:sz w:val="30"/>
          <w:szCs w:val="30"/>
        </w:rPr>
        <w:t>重新招标和不再招标</w:t>
      </w:r>
    </w:p>
    <w:p>
      <w:pPr>
        <w:autoSpaceDE w:val="0"/>
        <w:autoSpaceDN w:val="0"/>
        <w:adjustRightInd w:val="0"/>
        <w:spacing w:line="360" w:lineRule="auto"/>
        <w:jc w:val="left"/>
        <w:rPr>
          <w:rFonts w:ascii="黑体" w:eastAsia="黑体" w:cs="黑体"/>
          <w:kern w:val="0"/>
          <w:sz w:val="28"/>
          <w:szCs w:val="28"/>
        </w:rPr>
      </w:pPr>
      <w:r>
        <w:rPr>
          <w:rFonts w:ascii="TimesNewRomanPSMT" w:hAnsi="TimesNewRomanPSMT" w:cs="TimesNewRomanPSMT"/>
          <w:kern w:val="0"/>
          <w:sz w:val="28"/>
          <w:szCs w:val="28"/>
        </w:rPr>
        <w:t xml:space="preserve">8.1 </w:t>
      </w:r>
      <w:r>
        <w:rPr>
          <w:rFonts w:hint="eastAsia" w:ascii="黑体" w:eastAsia="黑体" w:cs="黑体"/>
          <w:kern w:val="0"/>
          <w:sz w:val="28"/>
          <w:szCs w:val="28"/>
        </w:rPr>
        <w:t>重新招标</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有下列情形之一的，招标人将重新招标：</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w:t>
      </w:r>
      <w:r>
        <w:rPr>
          <w:rFonts w:ascii="宋体" w:hAnsi="宋体" w:cs="TimesNewRomanPSMT"/>
          <w:kern w:val="0"/>
          <w:sz w:val="24"/>
        </w:rPr>
        <w:t>1</w:t>
      </w:r>
      <w:r>
        <w:rPr>
          <w:rFonts w:hint="eastAsia" w:ascii="宋体" w:hAnsi="宋体" w:cs="宋体"/>
          <w:kern w:val="0"/>
          <w:sz w:val="24"/>
        </w:rPr>
        <w:t>）投标截止时间止，投标人少于</w:t>
      </w:r>
      <w:r>
        <w:rPr>
          <w:rFonts w:ascii="宋体" w:hAnsi="宋体" w:cs="TimesNewRomanPSMT"/>
          <w:kern w:val="0"/>
          <w:sz w:val="24"/>
        </w:rPr>
        <w:t xml:space="preserve">3 </w:t>
      </w:r>
      <w:r>
        <w:rPr>
          <w:rFonts w:hint="eastAsia" w:ascii="宋体" w:hAnsi="宋体" w:cs="宋体"/>
          <w:kern w:val="0"/>
          <w:sz w:val="24"/>
        </w:rPr>
        <w:t>个的；</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w:t>
      </w:r>
      <w:r>
        <w:rPr>
          <w:rFonts w:ascii="宋体" w:hAnsi="宋体" w:cs="TimesNewRomanPSMT"/>
          <w:kern w:val="0"/>
          <w:sz w:val="24"/>
        </w:rPr>
        <w:t>2</w:t>
      </w:r>
      <w:r>
        <w:rPr>
          <w:rFonts w:hint="eastAsia" w:ascii="宋体" w:hAnsi="宋体" w:cs="宋体"/>
          <w:kern w:val="0"/>
          <w:sz w:val="24"/>
        </w:rPr>
        <w:t>）经评标委员会评审后否决所有投标的。</w:t>
      </w:r>
    </w:p>
    <w:p>
      <w:pPr>
        <w:autoSpaceDE w:val="0"/>
        <w:autoSpaceDN w:val="0"/>
        <w:adjustRightInd w:val="0"/>
        <w:spacing w:line="360" w:lineRule="auto"/>
        <w:jc w:val="left"/>
        <w:rPr>
          <w:rFonts w:ascii="黑体" w:eastAsia="黑体" w:cs="黑体"/>
          <w:kern w:val="0"/>
          <w:sz w:val="28"/>
          <w:szCs w:val="28"/>
        </w:rPr>
      </w:pPr>
      <w:r>
        <w:rPr>
          <w:rFonts w:ascii="TimesNewRomanPSMT" w:hAnsi="TimesNewRomanPSMT" w:cs="TimesNewRomanPSMT"/>
          <w:kern w:val="0"/>
          <w:sz w:val="28"/>
          <w:szCs w:val="28"/>
        </w:rPr>
        <w:t xml:space="preserve">8.2 </w:t>
      </w:r>
      <w:r>
        <w:rPr>
          <w:rFonts w:hint="eastAsia" w:ascii="黑体" w:eastAsia="黑体" w:cs="黑体"/>
          <w:kern w:val="0"/>
          <w:sz w:val="28"/>
          <w:szCs w:val="28"/>
        </w:rPr>
        <w:t>不再招标</w:t>
      </w:r>
    </w:p>
    <w:p>
      <w:pPr>
        <w:autoSpaceDE w:val="0"/>
        <w:autoSpaceDN w:val="0"/>
        <w:adjustRightInd w:val="0"/>
        <w:spacing w:line="360" w:lineRule="auto"/>
        <w:ind w:firstLine="480" w:firstLineChars="200"/>
        <w:jc w:val="left"/>
        <w:rPr>
          <w:rFonts w:ascii="宋体" w:cs="宋体"/>
          <w:kern w:val="0"/>
          <w:sz w:val="24"/>
        </w:rPr>
      </w:pPr>
      <w:r>
        <w:rPr>
          <w:rFonts w:hint="eastAsia" w:ascii="宋体" w:cs="宋体"/>
          <w:kern w:val="0"/>
          <w:sz w:val="24"/>
        </w:rPr>
        <w:t>重新招标后投标人仍少于</w:t>
      </w:r>
      <w:r>
        <w:rPr>
          <w:rFonts w:ascii="TimesNewRomanPSMT" w:hAnsi="TimesNewRomanPSMT" w:cs="TimesNewRomanPSMT"/>
          <w:kern w:val="0"/>
          <w:sz w:val="24"/>
        </w:rPr>
        <w:t xml:space="preserve">3 </w:t>
      </w:r>
      <w:r>
        <w:rPr>
          <w:rFonts w:hint="eastAsia" w:ascii="宋体" w:cs="宋体"/>
          <w:kern w:val="0"/>
          <w:sz w:val="24"/>
        </w:rPr>
        <w:t>个或者所有投标被否决的，属于必须审批或核准的工程建设项目，经原审批或核准部门批准后不再进行招标。</w:t>
      </w:r>
    </w:p>
    <w:p>
      <w:pPr>
        <w:autoSpaceDE w:val="0"/>
        <w:autoSpaceDN w:val="0"/>
        <w:adjustRightInd w:val="0"/>
        <w:spacing w:line="360" w:lineRule="auto"/>
        <w:jc w:val="left"/>
        <w:rPr>
          <w:rFonts w:ascii="黑体" w:eastAsia="黑体" w:cs="黑体"/>
          <w:kern w:val="0"/>
          <w:sz w:val="30"/>
          <w:szCs w:val="30"/>
        </w:rPr>
      </w:pPr>
      <w:r>
        <w:rPr>
          <w:rFonts w:ascii="TimesNewRomanPSMT" w:hAnsi="TimesNewRomanPSMT" w:cs="TimesNewRomanPSMT"/>
          <w:kern w:val="0"/>
          <w:sz w:val="30"/>
          <w:szCs w:val="30"/>
        </w:rPr>
        <w:t xml:space="preserve">9. </w:t>
      </w:r>
      <w:r>
        <w:rPr>
          <w:rFonts w:hint="eastAsia" w:ascii="黑体" w:eastAsia="黑体" w:cs="黑体"/>
          <w:kern w:val="0"/>
          <w:sz w:val="30"/>
          <w:szCs w:val="30"/>
        </w:rPr>
        <w:t>纪律和监督</w:t>
      </w:r>
    </w:p>
    <w:p>
      <w:pPr>
        <w:autoSpaceDE w:val="0"/>
        <w:autoSpaceDN w:val="0"/>
        <w:adjustRightInd w:val="0"/>
        <w:spacing w:line="360" w:lineRule="auto"/>
        <w:jc w:val="left"/>
        <w:rPr>
          <w:rFonts w:ascii="黑体" w:eastAsia="黑体" w:cs="黑体"/>
          <w:kern w:val="0"/>
          <w:sz w:val="28"/>
          <w:szCs w:val="28"/>
        </w:rPr>
      </w:pPr>
      <w:r>
        <w:rPr>
          <w:rFonts w:ascii="TimesNewRomanPSMT" w:hAnsi="TimesNewRomanPSMT" w:cs="TimesNewRomanPSMT"/>
          <w:kern w:val="0"/>
          <w:sz w:val="28"/>
          <w:szCs w:val="28"/>
        </w:rPr>
        <w:t xml:space="preserve">9.1 </w:t>
      </w:r>
      <w:r>
        <w:rPr>
          <w:rFonts w:hint="eastAsia" w:ascii="黑体" w:eastAsia="黑体" w:cs="黑体"/>
          <w:kern w:val="0"/>
          <w:sz w:val="28"/>
          <w:szCs w:val="28"/>
        </w:rPr>
        <w:t>对招标人的纪律要求</w:t>
      </w:r>
    </w:p>
    <w:p>
      <w:pPr>
        <w:autoSpaceDE w:val="0"/>
        <w:autoSpaceDN w:val="0"/>
        <w:adjustRightInd w:val="0"/>
        <w:spacing w:line="360" w:lineRule="auto"/>
        <w:ind w:firstLine="480" w:firstLineChars="200"/>
        <w:jc w:val="left"/>
        <w:rPr>
          <w:rFonts w:ascii="宋体" w:cs="宋体"/>
          <w:kern w:val="0"/>
          <w:sz w:val="24"/>
        </w:rPr>
      </w:pPr>
      <w:r>
        <w:rPr>
          <w:rFonts w:hint="eastAsia" w:ascii="宋体" w:cs="宋体"/>
          <w:kern w:val="0"/>
          <w:sz w:val="24"/>
        </w:rPr>
        <w:t>招标人不得泄漏招标投标活动中应当保密的情况和资料，不得与投标人串通损害国家利益、社会公共利益或者他人合法权益。</w:t>
      </w:r>
    </w:p>
    <w:p>
      <w:pPr>
        <w:autoSpaceDE w:val="0"/>
        <w:autoSpaceDN w:val="0"/>
        <w:adjustRightInd w:val="0"/>
        <w:spacing w:line="360" w:lineRule="auto"/>
        <w:jc w:val="left"/>
        <w:rPr>
          <w:rFonts w:ascii="黑体" w:eastAsia="黑体" w:cs="黑体"/>
          <w:kern w:val="0"/>
          <w:sz w:val="28"/>
          <w:szCs w:val="28"/>
        </w:rPr>
      </w:pPr>
      <w:r>
        <w:rPr>
          <w:rFonts w:ascii="TimesNewRomanPSMT" w:hAnsi="TimesNewRomanPSMT" w:cs="TimesNewRomanPSMT"/>
          <w:kern w:val="0"/>
          <w:sz w:val="28"/>
          <w:szCs w:val="28"/>
        </w:rPr>
        <w:t xml:space="preserve">9.2 </w:t>
      </w:r>
      <w:r>
        <w:rPr>
          <w:rFonts w:hint="eastAsia" w:ascii="黑体" w:eastAsia="黑体" w:cs="黑体"/>
          <w:kern w:val="0"/>
          <w:sz w:val="28"/>
          <w:szCs w:val="28"/>
        </w:rPr>
        <w:t>对投标人的纪律要求</w:t>
      </w:r>
    </w:p>
    <w:p>
      <w:pPr>
        <w:autoSpaceDE w:val="0"/>
        <w:autoSpaceDN w:val="0"/>
        <w:adjustRightInd w:val="0"/>
        <w:spacing w:line="360" w:lineRule="auto"/>
        <w:ind w:firstLine="480" w:firstLineChars="200"/>
        <w:jc w:val="left"/>
        <w:rPr>
          <w:rFonts w:ascii="宋体" w:cs="宋体"/>
          <w:kern w:val="0"/>
          <w:sz w:val="24"/>
        </w:rPr>
      </w:pPr>
      <w:r>
        <w:rPr>
          <w:rFonts w:hint="eastAsia" w:ascii="宋体" w:cs="宋体"/>
          <w:kern w:val="0"/>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360" w:lineRule="auto"/>
        <w:jc w:val="left"/>
        <w:rPr>
          <w:rFonts w:ascii="黑体" w:eastAsia="黑体" w:cs="黑体"/>
          <w:kern w:val="0"/>
          <w:sz w:val="28"/>
          <w:szCs w:val="28"/>
        </w:rPr>
      </w:pPr>
      <w:r>
        <w:rPr>
          <w:rFonts w:ascii="TimesNewRomanPSMT" w:hAnsi="TimesNewRomanPSMT" w:cs="TimesNewRomanPSMT"/>
          <w:kern w:val="0"/>
          <w:sz w:val="28"/>
          <w:szCs w:val="28"/>
        </w:rPr>
        <w:t xml:space="preserve">9.3 </w:t>
      </w:r>
      <w:r>
        <w:rPr>
          <w:rFonts w:hint="eastAsia" w:ascii="黑体" w:eastAsia="黑体" w:cs="黑体"/>
          <w:kern w:val="0"/>
          <w:sz w:val="28"/>
          <w:szCs w:val="28"/>
        </w:rPr>
        <w:t>对评标委员会成员的纪律要求</w:t>
      </w:r>
    </w:p>
    <w:p>
      <w:pPr>
        <w:autoSpaceDE w:val="0"/>
        <w:autoSpaceDN w:val="0"/>
        <w:adjustRightInd w:val="0"/>
        <w:spacing w:line="360" w:lineRule="auto"/>
        <w:ind w:firstLine="480" w:firstLineChars="200"/>
        <w:jc w:val="left"/>
        <w:rPr>
          <w:rFonts w:ascii="宋体" w:cs="宋体"/>
          <w:kern w:val="0"/>
          <w:sz w:val="24"/>
        </w:rPr>
      </w:pPr>
      <w:r>
        <w:rPr>
          <w:rFonts w:hint="eastAsia" w:ascii="宋体" w:cs="宋体"/>
          <w:kern w:val="0"/>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360" w:lineRule="auto"/>
        <w:jc w:val="left"/>
        <w:rPr>
          <w:rFonts w:ascii="黑体" w:eastAsia="黑体" w:cs="黑体"/>
          <w:kern w:val="0"/>
          <w:sz w:val="28"/>
          <w:szCs w:val="28"/>
        </w:rPr>
      </w:pPr>
      <w:r>
        <w:rPr>
          <w:rFonts w:ascii="TimesNewRomanPSMT" w:hAnsi="TimesNewRomanPSMT" w:cs="TimesNewRomanPSMT"/>
          <w:kern w:val="0"/>
          <w:sz w:val="28"/>
          <w:szCs w:val="28"/>
        </w:rPr>
        <w:t xml:space="preserve">9.4 </w:t>
      </w:r>
      <w:r>
        <w:rPr>
          <w:rFonts w:hint="eastAsia" w:ascii="黑体" w:eastAsia="黑体" w:cs="黑体"/>
          <w:kern w:val="0"/>
          <w:sz w:val="28"/>
          <w:szCs w:val="28"/>
        </w:rPr>
        <w:t>对与评标活动有关的工作人员的纪律要求</w:t>
      </w:r>
    </w:p>
    <w:p>
      <w:pPr>
        <w:autoSpaceDE w:val="0"/>
        <w:autoSpaceDN w:val="0"/>
        <w:adjustRightInd w:val="0"/>
        <w:spacing w:line="360" w:lineRule="auto"/>
        <w:ind w:firstLine="480" w:firstLineChars="200"/>
        <w:jc w:val="left"/>
        <w:rPr>
          <w:rFonts w:ascii="宋体" w:cs="宋体"/>
          <w:kern w:val="0"/>
          <w:sz w:val="24"/>
        </w:rPr>
      </w:pPr>
      <w:r>
        <w:rPr>
          <w:rFonts w:hint="eastAsia" w:ascii="宋体" w:cs="宋体"/>
          <w:kern w:val="0"/>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360" w:lineRule="auto"/>
        <w:jc w:val="left"/>
        <w:rPr>
          <w:rFonts w:ascii="黑体" w:eastAsia="黑体" w:cs="黑体"/>
          <w:kern w:val="0"/>
          <w:sz w:val="28"/>
          <w:szCs w:val="28"/>
        </w:rPr>
      </w:pPr>
      <w:r>
        <w:rPr>
          <w:rFonts w:ascii="TimesNewRomanPSMT" w:hAnsi="TimesNewRomanPSMT" w:cs="TimesNewRomanPSMT"/>
          <w:kern w:val="0"/>
          <w:sz w:val="28"/>
          <w:szCs w:val="28"/>
        </w:rPr>
        <w:t xml:space="preserve">9.5 </w:t>
      </w:r>
      <w:r>
        <w:rPr>
          <w:rFonts w:hint="eastAsia" w:ascii="黑体" w:eastAsia="黑体" w:cs="黑体"/>
          <w:kern w:val="0"/>
          <w:sz w:val="28"/>
          <w:szCs w:val="28"/>
        </w:rPr>
        <w:t>投诉</w:t>
      </w:r>
    </w:p>
    <w:p>
      <w:pPr>
        <w:autoSpaceDE w:val="0"/>
        <w:autoSpaceDN w:val="0"/>
        <w:adjustRightInd w:val="0"/>
        <w:spacing w:line="360" w:lineRule="auto"/>
        <w:ind w:firstLine="480" w:firstLineChars="200"/>
        <w:jc w:val="left"/>
        <w:rPr>
          <w:rFonts w:ascii="宋体" w:cs="宋体"/>
          <w:kern w:val="0"/>
          <w:sz w:val="24"/>
        </w:rPr>
      </w:pPr>
      <w:r>
        <w:rPr>
          <w:rFonts w:hint="eastAsia" w:ascii="宋体" w:cs="宋体"/>
          <w:kern w:val="0"/>
          <w:sz w:val="24"/>
        </w:rPr>
        <w:t>投标人和其他利害关系人认为本次招标活动违反法律、法规和规章规定的，有权向有关行政监督部门投诉。</w:t>
      </w:r>
    </w:p>
    <w:p>
      <w:pPr>
        <w:autoSpaceDE w:val="0"/>
        <w:autoSpaceDN w:val="0"/>
        <w:adjustRightInd w:val="0"/>
        <w:spacing w:line="360" w:lineRule="auto"/>
        <w:jc w:val="left"/>
        <w:rPr>
          <w:rFonts w:ascii="黑体" w:eastAsia="黑体" w:cs="黑体"/>
          <w:kern w:val="0"/>
          <w:sz w:val="30"/>
          <w:szCs w:val="30"/>
        </w:rPr>
      </w:pPr>
      <w:r>
        <w:rPr>
          <w:rFonts w:ascii="TimesNewRomanPSMT" w:hAnsi="TimesNewRomanPSMT" w:cs="TimesNewRomanPSMT"/>
          <w:kern w:val="0"/>
          <w:sz w:val="30"/>
          <w:szCs w:val="30"/>
        </w:rPr>
        <w:t xml:space="preserve">10. </w:t>
      </w:r>
      <w:r>
        <w:rPr>
          <w:rFonts w:hint="eastAsia" w:ascii="黑体" w:eastAsia="黑体" w:cs="黑体"/>
          <w:kern w:val="0"/>
          <w:sz w:val="30"/>
          <w:szCs w:val="30"/>
        </w:rPr>
        <w:t>需要补充的其他内容</w:t>
      </w:r>
    </w:p>
    <w:p>
      <w:pPr>
        <w:tabs>
          <w:tab w:val="left" w:pos="360"/>
          <w:tab w:val="left" w:pos="540"/>
          <w:tab w:val="left" w:pos="900"/>
          <w:tab w:val="left" w:pos="1080"/>
        </w:tabs>
        <w:spacing w:line="360" w:lineRule="auto"/>
        <w:ind w:firstLine="480" w:firstLineChars="200"/>
        <w:rPr>
          <w:b/>
          <w:sz w:val="24"/>
        </w:rPr>
      </w:pPr>
      <w:r>
        <w:rPr>
          <w:rFonts w:hint="eastAsia" w:ascii="宋体" w:cs="宋体"/>
          <w:kern w:val="0"/>
          <w:sz w:val="24"/>
        </w:rPr>
        <w:t>需要补充的其他内容：见投标人须知前附表。</w:t>
      </w:r>
    </w:p>
    <w:p>
      <w:pPr>
        <w:tabs>
          <w:tab w:val="left" w:pos="360"/>
          <w:tab w:val="left" w:pos="540"/>
          <w:tab w:val="left" w:pos="900"/>
          <w:tab w:val="left" w:pos="1080"/>
        </w:tabs>
        <w:spacing w:line="360" w:lineRule="auto"/>
        <w:rPr>
          <w:b/>
          <w:sz w:val="24"/>
        </w:rPr>
      </w:pPr>
    </w:p>
    <w:p>
      <w:pPr>
        <w:tabs>
          <w:tab w:val="left" w:pos="360"/>
          <w:tab w:val="left" w:pos="540"/>
          <w:tab w:val="left" w:pos="900"/>
          <w:tab w:val="left" w:pos="1080"/>
        </w:tabs>
        <w:spacing w:line="360" w:lineRule="auto"/>
        <w:rPr>
          <w:b/>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ind w:firstLine="120" w:firstLineChars="50"/>
        <w:rPr>
          <w:rFonts w:ascii="黑体" w:eastAsia="黑体"/>
          <w:sz w:val="24"/>
        </w:rPr>
      </w:pPr>
      <w:r>
        <w:rPr>
          <w:rFonts w:hint="eastAsia" w:ascii="黑体" w:eastAsia="黑体"/>
          <w:sz w:val="24"/>
        </w:rPr>
        <w:t>附表一：开标记录表</w:t>
      </w:r>
    </w:p>
    <w:p>
      <w:pPr>
        <w:spacing w:before="312" w:beforeLines="100" w:after="312" w:afterLines="100" w:line="400" w:lineRule="exact"/>
        <w:ind w:firstLine="1960" w:firstLineChars="700"/>
        <w:rPr>
          <w:rFonts w:ascii="黑体" w:eastAsia="黑体"/>
          <w:sz w:val="28"/>
          <w:szCs w:val="28"/>
        </w:rPr>
      </w:pPr>
      <w:r>
        <w:rPr>
          <w:rFonts w:hint="eastAsia" w:ascii="黑体" w:eastAsia="黑体"/>
          <w:sz w:val="28"/>
          <w:szCs w:val="28"/>
          <w:u w:val="single"/>
        </w:rPr>
        <w:t xml:space="preserve">       </w:t>
      </w:r>
      <w:r>
        <w:rPr>
          <w:rFonts w:hint="eastAsia" w:ascii="黑体" w:eastAsia="黑体"/>
          <w:sz w:val="28"/>
          <w:szCs w:val="28"/>
        </w:rPr>
        <w:t>（项目名称）代建招标开标记录表</w:t>
      </w:r>
    </w:p>
    <w:p>
      <w:pPr>
        <w:spacing w:line="400" w:lineRule="exact"/>
        <w:ind w:firstLine="105" w:firstLineChars="50"/>
        <w:rPr>
          <w:rFonts w:ascii="黑体" w:eastAsia="黑体"/>
        </w:rPr>
      </w:pPr>
      <w:r>
        <w:rPr>
          <w:rFonts w:hint="eastAsia" w:ascii="黑体" w:eastAsia="黑体"/>
        </w:rPr>
        <w:t>开标时间：</w:t>
      </w:r>
      <w:r>
        <w:rPr>
          <w:rFonts w:hint="eastAsia" w:ascii="黑体" w:eastAsia="黑体"/>
          <w:u w:val="single"/>
        </w:rPr>
        <w:t xml:space="preserve">      </w:t>
      </w:r>
      <w:r>
        <w:rPr>
          <w:rFonts w:hint="eastAsia" w:ascii="黑体" w:eastAsia="黑体"/>
        </w:rPr>
        <w:t>年</w:t>
      </w:r>
      <w:r>
        <w:rPr>
          <w:rFonts w:hint="eastAsia" w:ascii="黑体" w:eastAsia="黑体"/>
          <w:u w:val="single"/>
        </w:rPr>
        <w:t xml:space="preserve">    </w:t>
      </w:r>
      <w:r>
        <w:rPr>
          <w:rFonts w:hint="eastAsia" w:ascii="黑体" w:eastAsia="黑体"/>
        </w:rPr>
        <w:t>月</w:t>
      </w:r>
      <w:r>
        <w:rPr>
          <w:rFonts w:hint="eastAsia" w:ascii="黑体" w:eastAsia="黑体"/>
          <w:u w:val="single"/>
        </w:rPr>
        <w:t xml:space="preserve">    </w:t>
      </w:r>
      <w:r>
        <w:rPr>
          <w:rFonts w:hint="eastAsia" w:ascii="黑体" w:eastAsia="黑体"/>
        </w:rPr>
        <w:t>日</w:t>
      </w:r>
      <w:r>
        <w:rPr>
          <w:rFonts w:hint="eastAsia" w:ascii="黑体" w:eastAsia="黑体"/>
          <w:u w:val="single"/>
        </w:rPr>
        <w:t xml:space="preserve">    </w:t>
      </w:r>
      <w:r>
        <w:rPr>
          <w:rFonts w:hint="eastAsia" w:ascii="黑体" w:eastAsia="黑体"/>
        </w:rPr>
        <w:t>时</w:t>
      </w:r>
      <w:r>
        <w:rPr>
          <w:rFonts w:hint="eastAsia" w:ascii="黑体" w:eastAsia="黑体"/>
          <w:u w:val="single"/>
        </w:rPr>
        <w:t xml:space="preserve">    </w:t>
      </w:r>
      <w:r>
        <w:rPr>
          <w:rFonts w:hint="eastAsia" w:ascii="黑体" w:eastAsia="黑体"/>
        </w:rPr>
        <w:t>分</w:t>
      </w:r>
    </w:p>
    <w:p>
      <w:pPr>
        <w:spacing w:line="400" w:lineRule="exact"/>
        <w:ind w:firstLine="105" w:firstLineChars="50"/>
        <w:rPr>
          <w:rFonts w:ascii="黑体" w:eastAsia="黑体"/>
        </w:rPr>
      </w:pPr>
      <w:r>
        <w:rPr>
          <w:rFonts w:hint="eastAsia" w:ascii="黑体" w:eastAsia="黑体"/>
        </w:rPr>
        <w:t>开标地点：</w:t>
      </w:r>
      <w:r>
        <w:rPr>
          <w:rFonts w:hint="eastAsia" w:ascii="黑体" w:eastAsia="黑体"/>
          <w:u w:val="single"/>
        </w:rPr>
        <w:t xml:space="preserve">                                </w:t>
      </w:r>
    </w:p>
    <w:p>
      <w:bookmarkStart w:id="9" w:name="_Toc41309109"/>
      <w:bookmarkStart w:id="10" w:name="_Toc455588661"/>
      <w:r>
        <w:rPr>
          <w:rFonts w:hint="eastAsia"/>
        </w:rPr>
        <w:t>（一）唱标记录</w:t>
      </w:r>
      <w:bookmarkEnd w:id="9"/>
      <w:bookmarkEnd w:id="10"/>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922"/>
        <w:gridCol w:w="1078"/>
        <w:gridCol w:w="1262"/>
        <w:gridCol w:w="1390"/>
        <w:gridCol w:w="1105"/>
        <w:gridCol w:w="748"/>
        <w:gridCol w:w="75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66" w:type="dxa"/>
            <w:tcMar>
              <w:left w:w="28" w:type="dxa"/>
              <w:right w:w="28" w:type="dxa"/>
            </w:tcMar>
            <w:vAlign w:val="center"/>
          </w:tcPr>
          <w:p>
            <w:pPr>
              <w:jc w:val="center"/>
              <w:rPr>
                <w:rFonts w:ascii="黑体" w:eastAsia="黑体"/>
              </w:rPr>
            </w:pPr>
            <w:r>
              <w:rPr>
                <w:rFonts w:hint="eastAsia" w:ascii="黑体" w:eastAsia="黑体"/>
              </w:rPr>
              <w:t>序号</w:t>
            </w:r>
          </w:p>
        </w:tc>
        <w:tc>
          <w:tcPr>
            <w:tcW w:w="922" w:type="dxa"/>
            <w:vAlign w:val="center"/>
          </w:tcPr>
          <w:p>
            <w:pPr>
              <w:jc w:val="center"/>
              <w:rPr>
                <w:rFonts w:ascii="黑体" w:eastAsia="黑体"/>
              </w:rPr>
            </w:pPr>
            <w:r>
              <w:rPr>
                <w:rFonts w:hint="eastAsia" w:ascii="黑体" w:eastAsia="黑体"/>
              </w:rPr>
              <w:t>投标人</w:t>
            </w:r>
          </w:p>
        </w:tc>
        <w:tc>
          <w:tcPr>
            <w:tcW w:w="1078" w:type="dxa"/>
            <w:vAlign w:val="center"/>
          </w:tcPr>
          <w:p>
            <w:pPr>
              <w:jc w:val="center"/>
              <w:rPr>
                <w:rFonts w:ascii="黑体" w:eastAsia="黑体"/>
              </w:rPr>
            </w:pPr>
            <w:r>
              <w:rPr>
                <w:rFonts w:hint="eastAsia" w:ascii="黑体" w:eastAsia="黑体"/>
              </w:rPr>
              <w:t>密封情况</w:t>
            </w:r>
          </w:p>
        </w:tc>
        <w:tc>
          <w:tcPr>
            <w:tcW w:w="1262" w:type="dxa"/>
            <w:vAlign w:val="center"/>
          </w:tcPr>
          <w:p>
            <w:pPr>
              <w:jc w:val="center"/>
              <w:rPr>
                <w:rFonts w:ascii="黑体" w:eastAsia="黑体"/>
              </w:rPr>
            </w:pPr>
            <w:r>
              <w:rPr>
                <w:rFonts w:hint="eastAsia" w:ascii="黑体" w:eastAsia="黑体"/>
              </w:rPr>
              <w:t>投标保证金</w:t>
            </w:r>
          </w:p>
        </w:tc>
        <w:tc>
          <w:tcPr>
            <w:tcW w:w="1390" w:type="dxa"/>
            <w:vAlign w:val="center"/>
          </w:tcPr>
          <w:p>
            <w:pPr>
              <w:jc w:val="center"/>
              <w:rPr>
                <w:rFonts w:ascii="黑体" w:eastAsia="黑体"/>
              </w:rPr>
            </w:pPr>
            <w:r>
              <w:rPr>
                <w:rFonts w:hint="eastAsia" w:ascii="黑体" w:eastAsia="黑体"/>
              </w:rPr>
              <w:t>投标报价（元）</w:t>
            </w:r>
          </w:p>
        </w:tc>
        <w:tc>
          <w:tcPr>
            <w:tcW w:w="1105" w:type="dxa"/>
            <w:vAlign w:val="center"/>
          </w:tcPr>
          <w:p>
            <w:pPr>
              <w:jc w:val="center"/>
              <w:rPr>
                <w:rFonts w:ascii="黑体" w:eastAsia="黑体"/>
              </w:rPr>
            </w:pPr>
            <w:r>
              <w:rPr>
                <w:rFonts w:hint="eastAsia" w:ascii="黑体" w:eastAsia="黑体"/>
              </w:rPr>
              <w:t>质量目标</w:t>
            </w:r>
          </w:p>
        </w:tc>
        <w:tc>
          <w:tcPr>
            <w:tcW w:w="748" w:type="dxa"/>
            <w:vAlign w:val="center"/>
          </w:tcPr>
          <w:p>
            <w:pPr>
              <w:jc w:val="center"/>
              <w:rPr>
                <w:rFonts w:ascii="黑体" w:eastAsia="黑体"/>
              </w:rPr>
            </w:pPr>
            <w:r>
              <w:rPr>
                <w:rFonts w:hint="eastAsia" w:ascii="黑体" w:eastAsia="黑体"/>
              </w:rPr>
              <w:t>工期</w:t>
            </w:r>
          </w:p>
        </w:tc>
        <w:tc>
          <w:tcPr>
            <w:tcW w:w="750" w:type="dxa"/>
            <w:vAlign w:val="center"/>
          </w:tcPr>
          <w:p>
            <w:pPr>
              <w:jc w:val="center"/>
              <w:rPr>
                <w:rFonts w:ascii="黑体" w:eastAsia="黑体"/>
              </w:rPr>
            </w:pPr>
            <w:r>
              <w:rPr>
                <w:rFonts w:hint="eastAsia" w:ascii="黑体" w:eastAsia="黑体"/>
              </w:rPr>
              <w:t>备注</w:t>
            </w:r>
          </w:p>
        </w:tc>
        <w:tc>
          <w:tcPr>
            <w:tcW w:w="750" w:type="dxa"/>
            <w:vAlign w:val="center"/>
          </w:tcPr>
          <w:p>
            <w:pPr>
              <w:jc w:val="center"/>
              <w:rPr>
                <w:rFonts w:ascii="黑体" w:eastAsia="黑体"/>
              </w:rPr>
            </w:pPr>
            <w:r>
              <w:rPr>
                <w:rFonts w:hint="eastAsia" w:ascii="黑体" w:eastAsia="黑体"/>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66" w:type="dxa"/>
            <w:tcMar>
              <w:left w:w="28" w:type="dxa"/>
              <w:right w:w="28" w:type="dxa"/>
            </w:tcMar>
            <w:vAlign w:val="center"/>
          </w:tcPr>
          <w:p>
            <w:pPr>
              <w:jc w:val="center"/>
              <w:rPr>
                <w:rFonts w:ascii="黑体" w:eastAsia="黑体"/>
              </w:rPr>
            </w:pPr>
          </w:p>
        </w:tc>
        <w:tc>
          <w:tcPr>
            <w:tcW w:w="922" w:type="dxa"/>
            <w:vAlign w:val="center"/>
          </w:tcPr>
          <w:p>
            <w:pPr>
              <w:jc w:val="center"/>
              <w:rPr>
                <w:rFonts w:ascii="黑体" w:eastAsia="黑体"/>
              </w:rPr>
            </w:pPr>
          </w:p>
        </w:tc>
        <w:tc>
          <w:tcPr>
            <w:tcW w:w="1078" w:type="dxa"/>
            <w:vAlign w:val="center"/>
          </w:tcPr>
          <w:p>
            <w:pPr>
              <w:jc w:val="center"/>
              <w:rPr>
                <w:rFonts w:ascii="黑体" w:eastAsia="黑体"/>
              </w:rPr>
            </w:pPr>
          </w:p>
        </w:tc>
        <w:tc>
          <w:tcPr>
            <w:tcW w:w="1262" w:type="dxa"/>
            <w:vAlign w:val="center"/>
          </w:tcPr>
          <w:p>
            <w:pPr>
              <w:jc w:val="center"/>
              <w:rPr>
                <w:rFonts w:ascii="黑体" w:eastAsia="黑体"/>
              </w:rPr>
            </w:pPr>
          </w:p>
        </w:tc>
        <w:tc>
          <w:tcPr>
            <w:tcW w:w="1390" w:type="dxa"/>
            <w:vAlign w:val="center"/>
          </w:tcPr>
          <w:p>
            <w:pPr>
              <w:jc w:val="center"/>
              <w:rPr>
                <w:rFonts w:ascii="黑体" w:eastAsia="黑体"/>
              </w:rPr>
            </w:pPr>
          </w:p>
        </w:tc>
        <w:tc>
          <w:tcPr>
            <w:tcW w:w="1105" w:type="dxa"/>
            <w:vAlign w:val="center"/>
          </w:tcPr>
          <w:p>
            <w:pPr>
              <w:jc w:val="center"/>
              <w:rPr>
                <w:rFonts w:ascii="黑体" w:eastAsia="黑体"/>
              </w:rPr>
            </w:pPr>
          </w:p>
        </w:tc>
        <w:tc>
          <w:tcPr>
            <w:tcW w:w="748" w:type="dxa"/>
            <w:vAlign w:val="center"/>
          </w:tcPr>
          <w:p>
            <w:pPr>
              <w:jc w:val="center"/>
              <w:rPr>
                <w:rFonts w:ascii="黑体" w:eastAsia="黑体"/>
              </w:rPr>
            </w:pPr>
          </w:p>
        </w:tc>
        <w:tc>
          <w:tcPr>
            <w:tcW w:w="750" w:type="dxa"/>
            <w:vAlign w:val="center"/>
          </w:tcPr>
          <w:p>
            <w:pPr>
              <w:jc w:val="center"/>
              <w:rPr>
                <w:rFonts w:ascii="黑体" w:eastAsia="黑体"/>
              </w:rPr>
            </w:pPr>
          </w:p>
        </w:tc>
        <w:tc>
          <w:tcPr>
            <w:tcW w:w="750"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66" w:type="dxa"/>
            <w:tcMar>
              <w:left w:w="28" w:type="dxa"/>
              <w:right w:w="28" w:type="dxa"/>
            </w:tcMar>
            <w:vAlign w:val="center"/>
          </w:tcPr>
          <w:p>
            <w:pPr>
              <w:spacing w:line="400" w:lineRule="exact"/>
              <w:jc w:val="center"/>
            </w:pPr>
          </w:p>
        </w:tc>
        <w:tc>
          <w:tcPr>
            <w:tcW w:w="922" w:type="dxa"/>
            <w:vAlign w:val="center"/>
          </w:tcPr>
          <w:p>
            <w:pPr>
              <w:spacing w:line="400" w:lineRule="exact"/>
              <w:jc w:val="center"/>
            </w:pPr>
          </w:p>
        </w:tc>
        <w:tc>
          <w:tcPr>
            <w:tcW w:w="1078" w:type="dxa"/>
            <w:vAlign w:val="center"/>
          </w:tcPr>
          <w:p>
            <w:pPr>
              <w:spacing w:line="400" w:lineRule="exact"/>
              <w:jc w:val="center"/>
            </w:pPr>
          </w:p>
        </w:tc>
        <w:tc>
          <w:tcPr>
            <w:tcW w:w="1262" w:type="dxa"/>
            <w:vAlign w:val="center"/>
          </w:tcPr>
          <w:p>
            <w:pPr>
              <w:spacing w:line="400" w:lineRule="exact"/>
              <w:jc w:val="center"/>
            </w:pPr>
          </w:p>
        </w:tc>
        <w:tc>
          <w:tcPr>
            <w:tcW w:w="1390" w:type="dxa"/>
            <w:vAlign w:val="center"/>
          </w:tcPr>
          <w:p>
            <w:pPr>
              <w:spacing w:line="400" w:lineRule="exact"/>
              <w:jc w:val="center"/>
            </w:pPr>
          </w:p>
        </w:tc>
        <w:tc>
          <w:tcPr>
            <w:tcW w:w="1105" w:type="dxa"/>
            <w:vAlign w:val="center"/>
          </w:tcPr>
          <w:p>
            <w:pPr>
              <w:spacing w:line="400" w:lineRule="exact"/>
              <w:jc w:val="center"/>
            </w:pPr>
          </w:p>
        </w:tc>
        <w:tc>
          <w:tcPr>
            <w:tcW w:w="748" w:type="dxa"/>
            <w:vAlign w:val="center"/>
          </w:tcPr>
          <w:p>
            <w:pPr>
              <w:spacing w:line="400" w:lineRule="exact"/>
              <w:jc w:val="center"/>
            </w:pPr>
          </w:p>
        </w:tc>
        <w:tc>
          <w:tcPr>
            <w:tcW w:w="750" w:type="dxa"/>
            <w:vAlign w:val="center"/>
          </w:tcPr>
          <w:p>
            <w:pPr>
              <w:spacing w:line="400" w:lineRule="exact"/>
              <w:jc w:val="center"/>
            </w:pPr>
          </w:p>
        </w:tc>
        <w:tc>
          <w:tcPr>
            <w:tcW w:w="750"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66" w:type="dxa"/>
            <w:tcMar>
              <w:left w:w="28" w:type="dxa"/>
              <w:right w:w="28" w:type="dxa"/>
            </w:tcMar>
            <w:vAlign w:val="center"/>
          </w:tcPr>
          <w:p>
            <w:pPr>
              <w:spacing w:line="400" w:lineRule="exact"/>
              <w:jc w:val="center"/>
            </w:pPr>
          </w:p>
        </w:tc>
        <w:tc>
          <w:tcPr>
            <w:tcW w:w="922" w:type="dxa"/>
            <w:vAlign w:val="center"/>
          </w:tcPr>
          <w:p>
            <w:pPr>
              <w:spacing w:line="400" w:lineRule="exact"/>
              <w:jc w:val="center"/>
            </w:pPr>
          </w:p>
        </w:tc>
        <w:tc>
          <w:tcPr>
            <w:tcW w:w="1078" w:type="dxa"/>
            <w:vAlign w:val="center"/>
          </w:tcPr>
          <w:p>
            <w:pPr>
              <w:spacing w:line="400" w:lineRule="exact"/>
              <w:jc w:val="center"/>
            </w:pPr>
          </w:p>
        </w:tc>
        <w:tc>
          <w:tcPr>
            <w:tcW w:w="1262" w:type="dxa"/>
            <w:vAlign w:val="center"/>
          </w:tcPr>
          <w:p>
            <w:pPr>
              <w:spacing w:line="400" w:lineRule="exact"/>
              <w:jc w:val="center"/>
            </w:pPr>
          </w:p>
        </w:tc>
        <w:tc>
          <w:tcPr>
            <w:tcW w:w="1390" w:type="dxa"/>
            <w:vAlign w:val="center"/>
          </w:tcPr>
          <w:p>
            <w:pPr>
              <w:spacing w:line="400" w:lineRule="exact"/>
              <w:jc w:val="center"/>
            </w:pPr>
          </w:p>
        </w:tc>
        <w:tc>
          <w:tcPr>
            <w:tcW w:w="1105" w:type="dxa"/>
            <w:vAlign w:val="center"/>
          </w:tcPr>
          <w:p>
            <w:pPr>
              <w:spacing w:line="400" w:lineRule="exact"/>
              <w:jc w:val="center"/>
            </w:pPr>
          </w:p>
        </w:tc>
        <w:tc>
          <w:tcPr>
            <w:tcW w:w="748" w:type="dxa"/>
            <w:vAlign w:val="center"/>
          </w:tcPr>
          <w:p>
            <w:pPr>
              <w:spacing w:line="400" w:lineRule="exact"/>
              <w:jc w:val="center"/>
            </w:pPr>
          </w:p>
        </w:tc>
        <w:tc>
          <w:tcPr>
            <w:tcW w:w="750" w:type="dxa"/>
            <w:vAlign w:val="center"/>
          </w:tcPr>
          <w:p>
            <w:pPr>
              <w:spacing w:line="400" w:lineRule="exact"/>
              <w:jc w:val="center"/>
            </w:pPr>
          </w:p>
        </w:tc>
        <w:tc>
          <w:tcPr>
            <w:tcW w:w="750"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66" w:type="dxa"/>
            <w:tcMar>
              <w:left w:w="28" w:type="dxa"/>
              <w:right w:w="28" w:type="dxa"/>
            </w:tcMar>
            <w:vAlign w:val="center"/>
          </w:tcPr>
          <w:p>
            <w:pPr>
              <w:spacing w:line="400" w:lineRule="exact"/>
              <w:jc w:val="center"/>
            </w:pPr>
          </w:p>
        </w:tc>
        <w:tc>
          <w:tcPr>
            <w:tcW w:w="922" w:type="dxa"/>
            <w:vAlign w:val="center"/>
          </w:tcPr>
          <w:p>
            <w:pPr>
              <w:spacing w:line="400" w:lineRule="exact"/>
              <w:jc w:val="center"/>
            </w:pPr>
          </w:p>
        </w:tc>
        <w:tc>
          <w:tcPr>
            <w:tcW w:w="1078" w:type="dxa"/>
            <w:vAlign w:val="center"/>
          </w:tcPr>
          <w:p>
            <w:pPr>
              <w:spacing w:line="400" w:lineRule="exact"/>
              <w:jc w:val="center"/>
            </w:pPr>
          </w:p>
        </w:tc>
        <w:tc>
          <w:tcPr>
            <w:tcW w:w="1262" w:type="dxa"/>
            <w:vAlign w:val="center"/>
          </w:tcPr>
          <w:p>
            <w:pPr>
              <w:spacing w:line="400" w:lineRule="exact"/>
              <w:jc w:val="center"/>
            </w:pPr>
          </w:p>
        </w:tc>
        <w:tc>
          <w:tcPr>
            <w:tcW w:w="1390" w:type="dxa"/>
            <w:vAlign w:val="center"/>
          </w:tcPr>
          <w:p>
            <w:pPr>
              <w:spacing w:line="400" w:lineRule="exact"/>
              <w:jc w:val="center"/>
            </w:pPr>
          </w:p>
        </w:tc>
        <w:tc>
          <w:tcPr>
            <w:tcW w:w="1105" w:type="dxa"/>
            <w:vAlign w:val="center"/>
          </w:tcPr>
          <w:p>
            <w:pPr>
              <w:spacing w:line="400" w:lineRule="exact"/>
              <w:jc w:val="center"/>
            </w:pPr>
          </w:p>
        </w:tc>
        <w:tc>
          <w:tcPr>
            <w:tcW w:w="748" w:type="dxa"/>
            <w:vAlign w:val="center"/>
          </w:tcPr>
          <w:p>
            <w:pPr>
              <w:spacing w:line="400" w:lineRule="exact"/>
              <w:jc w:val="center"/>
            </w:pPr>
          </w:p>
        </w:tc>
        <w:tc>
          <w:tcPr>
            <w:tcW w:w="750" w:type="dxa"/>
            <w:vAlign w:val="center"/>
          </w:tcPr>
          <w:p>
            <w:pPr>
              <w:spacing w:line="400" w:lineRule="exact"/>
              <w:jc w:val="center"/>
            </w:pPr>
          </w:p>
        </w:tc>
        <w:tc>
          <w:tcPr>
            <w:tcW w:w="750"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66" w:type="dxa"/>
            <w:tcMar>
              <w:left w:w="28" w:type="dxa"/>
              <w:right w:w="28" w:type="dxa"/>
            </w:tcMar>
            <w:vAlign w:val="center"/>
          </w:tcPr>
          <w:p>
            <w:pPr>
              <w:spacing w:line="400" w:lineRule="exact"/>
              <w:jc w:val="center"/>
            </w:pPr>
          </w:p>
        </w:tc>
        <w:tc>
          <w:tcPr>
            <w:tcW w:w="922" w:type="dxa"/>
            <w:vAlign w:val="center"/>
          </w:tcPr>
          <w:p>
            <w:pPr>
              <w:spacing w:line="400" w:lineRule="exact"/>
              <w:jc w:val="center"/>
            </w:pPr>
          </w:p>
        </w:tc>
        <w:tc>
          <w:tcPr>
            <w:tcW w:w="1078" w:type="dxa"/>
            <w:vAlign w:val="center"/>
          </w:tcPr>
          <w:p>
            <w:pPr>
              <w:spacing w:line="400" w:lineRule="exact"/>
              <w:jc w:val="center"/>
            </w:pPr>
          </w:p>
        </w:tc>
        <w:tc>
          <w:tcPr>
            <w:tcW w:w="1262" w:type="dxa"/>
            <w:vAlign w:val="center"/>
          </w:tcPr>
          <w:p>
            <w:pPr>
              <w:spacing w:line="400" w:lineRule="exact"/>
              <w:jc w:val="center"/>
            </w:pPr>
          </w:p>
        </w:tc>
        <w:tc>
          <w:tcPr>
            <w:tcW w:w="1390" w:type="dxa"/>
            <w:vAlign w:val="center"/>
          </w:tcPr>
          <w:p>
            <w:pPr>
              <w:spacing w:line="400" w:lineRule="exact"/>
              <w:jc w:val="center"/>
            </w:pPr>
          </w:p>
        </w:tc>
        <w:tc>
          <w:tcPr>
            <w:tcW w:w="1105" w:type="dxa"/>
            <w:vAlign w:val="center"/>
          </w:tcPr>
          <w:p>
            <w:pPr>
              <w:spacing w:line="400" w:lineRule="exact"/>
              <w:jc w:val="center"/>
            </w:pPr>
          </w:p>
        </w:tc>
        <w:tc>
          <w:tcPr>
            <w:tcW w:w="748" w:type="dxa"/>
            <w:vAlign w:val="center"/>
          </w:tcPr>
          <w:p>
            <w:pPr>
              <w:spacing w:line="400" w:lineRule="exact"/>
              <w:jc w:val="center"/>
            </w:pPr>
          </w:p>
        </w:tc>
        <w:tc>
          <w:tcPr>
            <w:tcW w:w="750" w:type="dxa"/>
            <w:vAlign w:val="center"/>
          </w:tcPr>
          <w:p>
            <w:pPr>
              <w:spacing w:line="400" w:lineRule="exact"/>
              <w:jc w:val="center"/>
            </w:pPr>
          </w:p>
        </w:tc>
        <w:tc>
          <w:tcPr>
            <w:tcW w:w="750"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66" w:type="dxa"/>
            <w:tcMar>
              <w:left w:w="28" w:type="dxa"/>
              <w:right w:w="28" w:type="dxa"/>
            </w:tcMar>
            <w:vAlign w:val="center"/>
          </w:tcPr>
          <w:p>
            <w:pPr>
              <w:spacing w:line="400" w:lineRule="exact"/>
              <w:jc w:val="center"/>
            </w:pPr>
          </w:p>
        </w:tc>
        <w:tc>
          <w:tcPr>
            <w:tcW w:w="922" w:type="dxa"/>
            <w:vAlign w:val="center"/>
          </w:tcPr>
          <w:p>
            <w:pPr>
              <w:spacing w:line="400" w:lineRule="exact"/>
              <w:jc w:val="center"/>
            </w:pPr>
          </w:p>
        </w:tc>
        <w:tc>
          <w:tcPr>
            <w:tcW w:w="1078" w:type="dxa"/>
            <w:vAlign w:val="center"/>
          </w:tcPr>
          <w:p>
            <w:pPr>
              <w:spacing w:line="400" w:lineRule="exact"/>
              <w:jc w:val="center"/>
            </w:pPr>
          </w:p>
        </w:tc>
        <w:tc>
          <w:tcPr>
            <w:tcW w:w="1262" w:type="dxa"/>
            <w:vAlign w:val="center"/>
          </w:tcPr>
          <w:p>
            <w:pPr>
              <w:spacing w:line="400" w:lineRule="exact"/>
              <w:jc w:val="center"/>
            </w:pPr>
          </w:p>
        </w:tc>
        <w:tc>
          <w:tcPr>
            <w:tcW w:w="1390" w:type="dxa"/>
            <w:vAlign w:val="center"/>
          </w:tcPr>
          <w:p>
            <w:pPr>
              <w:spacing w:line="400" w:lineRule="exact"/>
              <w:jc w:val="center"/>
            </w:pPr>
          </w:p>
        </w:tc>
        <w:tc>
          <w:tcPr>
            <w:tcW w:w="1105" w:type="dxa"/>
            <w:vAlign w:val="center"/>
          </w:tcPr>
          <w:p>
            <w:pPr>
              <w:spacing w:line="400" w:lineRule="exact"/>
              <w:jc w:val="center"/>
            </w:pPr>
          </w:p>
        </w:tc>
        <w:tc>
          <w:tcPr>
            <w:tcW w:w="748" w:type="dxa"/>
            <w:vAlign w:val="center"/>
          </w:tcPr>
          <w:p>
            <w:pPr>
              <w:spacing w:line="400" w:lineRule="exact"/>
              <w:jc w:val="center"/>
            </w:pPr>
          </w:p>
        </w:tc>
        <w:tc>
          <w:tcPr>
            <w:tcW w:w="750" w:type="dxa"/>
            <w:vAlign w:val="center"/>
          </w:tcPr>
          <w:p>
            <w:pPr>
              <w:spacing w:line="400" w:lineRule="exact"/>
              <w:jc w:val="center"/>
            </w:pPr>
          </w:p>
        </w:tc>
        <w:tc>
          <w:tcPr>
            <w:tcW w:w="750"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66" w:type="dxa"/>
            <w:tcMar>
              <w:left w:w="28" w:type="dxa"/>
              <w:right w:w="28" w:type="dxa"/>
            </w:tcMar>
            <w:vAlign w:val="center"/>
          </w:tcPr>
          <w:p>
            <w:pPr>
              <w:spacing w:line="400" w:lineRule="exact"/>
              <w:jc w:val="center"/>
            </w:pPr>
          </w:p>
        </w:tc>
        <w:tc>
          <w:tcPr>
            <w:tcW w:w="922" w:type="dxa"/>
            <w:vAlign w:val="center"/>
          </w:tcPr>
          <w:p>
            <w:pPr>
              <w:spacing w:line="400" w:lineRule="exact"/>
              <w:jc w:val="center"/>
            </w:pPr>
          </w:p>
        </w:tc>
        <w:tc>
          <w:tcPr>
            <w:tcW w:w="1078" w:type="dxa"/>
            <w:vAlign w:val="center"/>
          </w:tcPr>
          <w:p>
            <w:pPr>
              <w:spacing w:line="400" w:lineRule="exact"/>
              <w:jc w:val="center"/>
            </w:pPr>
          </w:p>
        </w:tc>
        <w:tc>
          <w:tcPr>
            <w:tcW w:w="1262" w:type="dxa"/>
            <w:vAlign w:val="center"/>
          </w:tcPr>
          <w:p>
            <w:pPr>
              <w:spacing w:line="400" w:lineRule="exact"/>
              <w:jc w:val="center"/>
            </w:pPr>
          </w:p>
        </w:tc>
        <w:tc>
          <w:tcPr>
            <w:tcW w:w="1390" w:type="dxa"/>
            <w:vAlign w:val="center"/>
          </w:tcPr>
          <w:p>
            <w:pPr>
              <w:spacing w:line="400" w:lineRule="exact"/>
              <w:jc w:val="center"/>
            </w:pPr>
          </w:p>
        </w:tc>
        <w:tc>
          <w:tcPr>
            <w:tcW w:w="1105" w:type="dxa"/>
            <w:vAlign w:val="center"/>
          </w:tcPr>
          <w:p>
            <w:pPr>
              <w:spacing w:line="400" w:lineRule="exact"/>
              <w:jc w:val="center"/>
            </w:pPr>
          </w:p>
        </w:tc>
        <w:tc>
          <w:tcPr>
            <w:tcW w:w="748" w:type="dxa"/>
            <w:vAlign w:val="center"/>
          </w:tcPr>
          <w:p>
            <w:pPr>
              <w:spacing w:line="400" w:lineRule="exact"/>
              <w:jc w:val="center"/>
            </w:pPr>
          </w:p>
        </w:tc>
        <w:tc>
          <w:tcPr>
            <w:tcW w:w="750" w:type="dxa"/>
            <w:vAlign w:val="center"/>
          </w:tcPr>
          <w:p>
            <w:pPr>
              <w:spacing w:line="400" w:lineRule="exact"/>
              <w:jc w:val="center"/>
            </w:pPr>
          </w:p>
        </w:tc>
        <w:tc>
          <w:tcPr>
            <w:tcW w:w="750"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66" w:type="dxa"/>
            <w:tcMar>
              <w:left w:w="28" w:type="dxa"/>
              <w:right w:w="28" w:type="dxa"/>
            </w:tcMar>
            <w:vAlign w:val="center"/>
          </w:tcPr>
          <w:p>
            <w:pPr>
              <w:spacing w:line="400" w:lineRule="exact"/>
              <w:jc w:val="center"/>
            </w:pPr>
          </w:p>
        </w:tc>
        <w:tc>
          <w:tcPr>
            <w:tcW w:w="922" w:type="dxa"/>
            <w:vAlign w:val="center"/>
          </w:tcPr>
          <w:p>
            <w:pPr>
              <w:spacing w:line="400" w:lineRule="exact"/>
              <w:jc w:val="center"/>
            </w:pPr>
          </w:p>
        </w:tc>
        <w:tc>
          <w:tcPr>
            <w:tcW w:w="1078" w:type="dxa"/>
            <w:vAlign w:val="center"/>
          </w:tcPr>
          <w:p>
            <w:pPr>
              <w:spacing w:line="400" w:lineRule="exact"/>
              <w:jc w:val="center"/>
            </w:pPr>
          </w:p>
        </w:tc>
        <w:tc>
          <w:tcPr>
            <w:tcW w:w="1262" w:type="dxa"/>
            <w:vAlign w:val="center"/>
          </w:tcPr>
          <w:p>
            <w:pPr>
              <w:spacing w:line="400" w:lineRule="exact"/>
              <w:jc w:val="center"/>
            </w:pPr>
          </w:p>
        </w:tc>
        <w:tc>
          <w:tcPr>
            <w:tcW w:w="1390" w:type="dxa"/>
            <w:vAlign w:val="center"/>
          </w:tcPr>
          <w:p>
            <w:pPr>
              <w:spacing w:line="400" w:lineRule="exact"/>
              <w:jc w:val="center"/>
            </w:pPr>
          </w:p>
        </w:tc>
        <w:tc>
          <w:tcPr>
            <w:tcW w:w="1105" w:type="dxa"/>
            <w:vAlign w:val="center"/>
          </w:tcPr>
          <w:p>
            <w:pPr>
              <w:spacing w:line="400" w:lineRule="exact"/>
              <w:jc w:val="center"/>
            </w:pPr>
          </w:p>
        </w:tc>
        <w:tc>
          <w:tcPr>
            <w:tcW w:w="748" w:type="dxa"/>
            <w:vAlign w:val="center"/>
          </w:tcPr>
          <w:p>
            <w:pPr>
              <w:spacing w:line="400" w:lineRule="exact"/>
              <w:jc w:val="center"/>
            </w:pPr>
          </w:p>
        </w:tc>
        <w:tc>
          <w:tcPr>
            <w:tcW w:w="750" w:type="dxa"/>
            <w:vAlign w:val="center"/>
          </w:tcPr>
          <w:p>
            <w:pPr>
              <w:spacing w:line="400" w:lineRule="exact"/>
              <w:jc w:val="center"/>
            </w:pPr>
          </w:p>
        </w:tc>
        <w:tc>
          <w:tcPr>
            <w:tcW w:w="750"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66" w:type="dxa"/>
            <w:tcMar>
              <w:left w:w="28" w:type="dxa"/>
              <w:right w:w="28" w:type="dxa"/>
            </w:tcMar>
            <w:vAlign w:val="center"/>
          </w:tcPr>
          <w:p>
            <w:pPr>
              <w:spacing w:line="400" w:lineRule="exact"/>
              <w:jc w:val="center"/>
            </w:pPr>
          </w:p>
        </w:tc>
        <w:tc>
          <w:tcPr>
            <w:tcW w:w="922" w:type="dxa"/>
            <w:vAlign w:val="center"/>
          </w:tcPr>
          <w:p>
            <w:pPr>
              <w:spacing w:line="400" w:lineRule="exact"/>
              <w:jc w:val="center"/>
            </w:pPr>
          </w:p>
        </w:tc>
        <w:tc>
          <w:tcPr>
            <w:tcW w:w="1078" w:type="dxa"/>
            <w:vAlign w:val="center"/>
          </w:tcPr>
          <w:p>
            <w:pPr>
              <w:spacing w:line="400" w:lineRule="exact"/>
              <w:jc w:val="center"/>
            </w:pPr>
          </w:p>
        </w:tc>
        <w:tc>
          <w:tcPr>
            <w:tcW w:w="1262" w:type="dxa"/>
            <w:vAlign w:val="center"/>
          </w:tcPr>
          <w:p>
            <w:pPr>
              <w:spacing w:line="400" w:lineRule="exact"/>
              <w:jc w:val="center"/>
            </w:pPr>
          </w:p>
        </w:tc>
        <w:tc>
          <w:tcPr>
            <w:tcW w:w="1390" w:type="dxa"/>
            <w:vAlign w:val="center"/>
          </w:tcPr>
          <w:p>
            <w:pPr>
              <w:spacing w:line="400" w:lineRule="exact"/>
              <w:jc w:val="center"/>
            </w:pPr>
          </w:p>
        </w:tc>
        <w:tc>
          <w:tcPr>
            <w:tcW w:w="1105" w:type="dxa"/>
            <w:vAlign w:val="center"/>
          </w:tcPr>
          <w:p>
            <w:pPr>
              <w:spacing w:line="400" w:lineRule="exact"/>
              <w:jc w:val="center"/>
            </w:pPr>
          </w:p>
        </w:tc>
        <w:tc>
          <w:tcPr>
            <w:tcW w:w="748" w:type="dxa"/>
            <w:vAlign w:val="center"/>
          </w:tcPr>
          <w:p>
            <w:pPr>
              <w:spacing w:line="400" w:lineRule="exact"/>
              <w:jc w:val="center"/>
            </w:pPr>
          </w:p>
        </w:tc>
        <w:tc>
          <w:tcPr>
            <w:tcW w:w="750" w:type="dxa"/>
            <w:vAlign w:val="center"/>
          </w:tcPr>
          <w:p>
            <w:pPr>
              <w:spacing w:line="400" w:lineRule="exact"/>
              <w:jc w:val="center"/>
            </w:pPr>
          </w:p>
        </w:tc>
        <w:tc>
          <w:tcPr>
            <w:tcW w:w="750"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666" w:type="dxa"/>
            <w:gridSpan w:val="3"/>
            <w:tcMar>
              <w:left w:w="28" w:type="dxa"/>
              <w:right w:w="28" w:type="dxa"/>
            </w:tcMar>
            <w:vAlign w:val="center"/>
          </w:tcPr>
          <w:p>
            <w:pPr>
              <w:spacing w:line="400" w:lineRule="exact"/>
              <w:jc w:val="center"/>
            </w:pPr>
            <w:r>
              <w:rPr>
                <w:rFonts w:hint="eastAsia"/>
              </w:rPr>
              <w:t>招标人编制的标底（如果有）</w:t>
            </w:r>
          </w:p>
        </w:tc>
        <w:tc>
          <w:tcPr>
            <w:tcW w:w="6005" w:type="dxa"/>
            <w:gridSpan w:val="6"/>
            <w:vAlign w:val="center"/>
          </w:tcPr>
          <w:p>
            <w:pPr>
              <w:spacing w:line="400" w:lineRule="exact"/>
              <w:jc w:val="center"/>
            </w:pPr>
          </w:p>
        </w:tc>
      </w:tr>
    </w:tbl>
    <w:p>
      <w:pPr>
        <w:spacing w:line="400" w:lineRule="exact"/>
        <w:rPr>
          <w:rFonts w:ascii="黑体" w:eastAsia="黑体"/>
        </w:rPr>
      </w:pPr>
      <w:r>
        <w:rPr>
          <w:rFonts w:hint="eastAsia" w:ascii="黑体" w:eastAsia="黑体"/>
        </w:rPr>
        <w:t xml:space="preserve"> （二）开标过程中的其他事项记录</w:t>
      </w:r>
    </w:p>
    <w:p>
      <w:pPr>
        <w:spacing w:line="400" w:lineRule="exact"/>
        <w:rPr>
          <w:rFonts w:ascii="黑体" w:eastAsia="黑体"/>
          <w:u w:val="single"/>
        </w:rPr>
      </w:pPr>
      <w:r>
        <w:rPr>
          <w:rFonts w:hint="eastAsia" w:ascii="黑体" w:eastAsia="黑体"/>
          <w:u w:val="single"/>
        </w:rPr>
        <w:t xml:space="preserve">                                                                             </w:t>
      </w:r>
    </w:p>
    <w:p>
      <w:pPr>
        <w:spacing w:line="400" w:lineRule="exact"/>
        <w:rPr>
          <w:rFonts w:ascii="黑体" w:eastAsia="黑体"/>
          <w:u w:val="single"/>
        </w:rPr>
      </w:pPr>
      <w:r>
        <w:rPr>
          <w:rFonts w:hint="eastAsia" w:ascii="黑体" w:eastAsia="黑体"/>
          <w:u w:val="single"/>
        </w:rPr>
        <w:t xml:space="preserve">                                                                             </w:t>
      </w:r>
    </w:p>
    <w:p>
      <w:pPr>
        <w:spacing w:line="400" w:lineRule="exact"/>
        <w:rPr>
          <w:rFonts w:ascii="黑体" w:eastAsia="黑体"/>
          <w:u w:val="single"/>
        </w:rPr>
      </w:pPr>
      <w:r>
        <w:rPr>
          <w:rFonts w:hint="eastAsia" w:ascii="黑体" w:eastAsia="黑体"/>
          <w:u w:val="single"/>
        </w:rPr>
        <w:t xml:space="preserve">                                                                             </w:t>
      </w:r>
    </w:p>
    <w:p>
      <w:pPr>
        <w:spacing w:line="400" w:lineRule="exact"/>
        <w:rPr>
          <w:rFonts w:ascii="黑体" w:eastAsia="黑体"/>
          <w:u w:val="single"/>
        </w:rPr>
      </w:pPr>
      <w:r>
        <w:rPr>
          <w:rFonts w:hint="eastAsia" w:ascii="黑体" w:eastAsia="黑体"/>
          <w:u w:val="single"/>
        </w:rPr>
        <w:t xml:space="preserve">                                                                             </w:t>
      </w:r>
    </w:p>
    <w:p>
      <w:pPr>
        <w:spacing w:line="400" w:lineRule="exact"/>
        <w:rPr>
          <w:rFonts w:ascii="宋体" w:hAnsi="宋体"/>
          <w:u w:val="single"/>
        </w:rPr>
      </w:pPr>
      <w:r>
        <w:rPr>
          <w:rFonts w:hint="eastAsia" w:ascii="黑体" w:eastAsia="黑体"/>
          <w:u w:val="single"/>
        </w:rPr>
        <w:t xml:space="preserve">                                         </w:t>
      </w:r>
      <w:r>
        <w:rPr>
          <w:rFonts w:hint="eastAsia" w:ascii="宋体" w:hAnsi="宋体"/>
          <w:u w:val="single"/>
        </w:rPr>
        <w:t xml:space="preserve">                                    </w:t>
      </w:r>
    </w:p>
    <w:p>
      <w:r>
        <w:rPr>
          <w:rFonts w:hint="eastAsia"/>
        </w:rPr>
        <w:t xml:space="preserve"> </w:t>
      </w:r>
      <w:bookmarkStart w:id="11" w:name="_Toc455588662"/>
      <w:bookmarkStart w:id="12" w:name="_Toc41309110"/>
      <w:r>
        <w:rPr>
          <w:rFonts w:hint="eastAsia"/>
        </w:rPr>
        <w:t>（三）出席开标会的单位和人员（附签到表）</w:t>
      </w:r>
      <w:bookmarkEnd w:id="11"/>
      <w:bookmarkEnd w:id="12"/>
    </w:p>
    <w:p>
      <w:pPr>
        <w:spacing w:line="400" w:lineRule="exact"/>
      </w:pPr>
    </w:p>
    <w:p>
      <w:pPr>
        <w:spacing w:line="400" w:lineRule="exact"/>
      </w:pPr>
    </w:p>
    <w:p>
      <w:pPr>
        <w:spacing w:line="400" w:lineRule="exact"/>
      </w:pPr>
    </w:p>
    <w:p>
      <w:pPr>
        <w:spacing w:line="400" w:lineRule="exact"/>
        <w:rPr>
          <w:rFonts w:ascii="黑体" w:eastAsia="黑体"/>
          <w:u w:val="single"/>
        </w:rPr>
      </w:pPr>
      <w:r>
        <w:rPr>
          <w:rFonts w:hint="eastAsia" w:ascii="黑体" w:eastAsia="黑体"/>
        </w:rPr>
        <w:t>招标人代表：</w:t>
      </w:r>
      <w:r>
        <w:rPr>
          <w:rFonts w:hint="eastAsia" w:ascii="黑体" w:eastAsia="黑体"/>
          <w:u w:val="single"/>
        </w:rPr>
        <w:t xml:space="preserve">                </w:t>
      </w:r>
      <w:r>
        <w:rPr>
          <w:rFonts w:hint="eastAsia" w:ascii="黑体" w:eastAsia="黑体"/>
        </w:rPr>
        <w:t>记录人：</w:t>
      </w:r>
      <w:r>
        <w:rPr>
          <w:rFonts w:hint="eastAsia" w:ascii="黑体" w:eastAsia="黑体"/>
          <w:u w:val="single"/>
        </w:rPr>
        <w:t xml:space="preserve">                 </w:t>
      </w:r>
      <w:r>
        <w:rPr>
          <w:rFonts w:hint="eastAsia" w:ascii="黑体" w:eastAsia="黑体"/>
        </w:rPr>
        <w:t>监标人：</w:t>
      </w:r>
      <w:r>
        <w:rPr>
          <w:rFonts w:hint="eastAsia" w:ascii="黑体" w:eastAsia="黑体"/>
          <w:u w:val="single"/>
        </w:rPr>
        <w:t xml:space="preserve">               </w:t>
      </w:r>
    </w:p>
    <w:p>
      <w:pPr>
        <w:spacing w:line="400" w:lineRule="exact"/>
      </w:pPr>
    </w:p>
    <w:p>
      <w:pPr>
        <w:spacing w:line="400" w:lineRule="exact"/>
        <w:ind w:firstLine="3780" w:firstLineChars="1800"/>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400" w:lineRule="exact"/>
        <w:ind w:firstLine="3780" w:firstLineChars="1800"/>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p>
    <w:p>
      <w:pPr>
        <w:spacing w:line="400" w:lineRule="exact"/>
        <w:rPr>
          <w:rFonts w:ascii="黑体" w:eastAsia="黑体"/>
          <w:sz w:val="24"/>
        </w:rPr>
      </w:pPr>
      <w:r>
        <w:rPr>
          <w:rFonts w:hint="eastAsia" w:ascii="黑体" w:eastAsia="黑体"/>
          <w:sz w:val="24"/>
        </w:rPr>
        <w:t>附表二：问题澄清通知</w:t>
      </w:r>
    </w:p>
    <w:p>
      <w:pPr>
        <w:spacing w:before="312" w:beforeLines="100" w:after="312" w:afterLines="100" w:line="400" w:lineRule="exact"/>
        <w:jc w:val="center"/>
        <w:rPr>
          <w:rFonts w:ascii="黑体" w:eastAsia="黑体"/>
          <w:sz w:val="28"/>
          <w:szCs w:val="28"/>
        </w:rPr>
      </w:pPr>
      <w:r>
        <w:rPr>
          <w:rFonts w:hint="eastAsia" w:ascii="黑体" w:eastAsia="黑体"/>
          <w:sz w:val="28"/>
          <w:szCs w:val="28"/>
        </w:rPr>
        <w:t>问题澄清通知</w:t>
      </w:r>
    </w:p>
    <w:p>
      <w:pPr>
        <w:spacing w:line="400" w:lineRule="exact"/>
        <w:ind w:firstLine="5355" w:firstLineChars="2550"/>
        <w:rPr>
          <w:u w:val="single"/>
        </w:rPr>
      </w:pPr>
      <w:r>
        <w:rPr>
          <w:rFonts w:hint="eastAsia"/>
        </w:rPr>
        <w:t>编号：</w:t>
      </w:r>
      <w:r>
        <w:rPr>
          <w:rFonts w:hint="eastAsia"/>
          <w:u w:val="single"/>
        </w:rPr>
        <w:t xml:space="preserve">                  </w:t>
      </w:r>
    </w:p>
    <w:p>
      <w:pPr>
        <w:spacing w:line="480" w:lineRule="exact"/>
        <w:ind w:firstLine="420" w:firstLineChars="200"/>
      </w:pPr>
      <w:r>
        <w:rPr>
          <w:rFonts w:hint="eastAsia"/>
          <w:u w:val="single"/>
        </w:rPr>
        <w:t xml:space="preserve">            </w:t>
      </w:r>
      <w:r>
        <w:rPr>
          <w:rFonts w:hint="eastAsia" w:ascii="宋体" w:hAnsi="宋体"/>
          <w:u w:val="single"/>
        </w:rPr>
        <w:t xml:space="preserve">         </w:t>
      </w:r>
      <w:r>
        <w:rPr>
          <w:rFonts w:hint="eastAsia"/>
          <w:u w:val="single"/>
        </w:rPr>
        <w:t xml:space="preserve">      </w:t>
      </w:r>
      <w:r>
        <w:rPr>
          <w:rFonts w:hint="eastAsia"/>
        </w:rPr>
        <w:t>（投标人名称）：</w:t>
      </w:r>
    </w:p>
    <w:p>
      <w:pPr>
        <w:spacing w:line="480" w:lineRule="exact"/>
        <w:ind w:firstLine="420" w:firstLineChars="200"/>
      </w:pPr>
      <w:r>
        <w:rPr>
          <w:rFonts w:hint="eastAsia"/>
          <w:u w:val="single"/>
        </w:rPr>
        <w:t xml:space="preserve">             </w:t>
      </w:r>
      <w:r>
        <w:rPr>
          <w:rFonts w:hint="eastAsia"/>
        </w:rPr>
        <w:t>（项目名称）</w:t>
      </w:r>
      <w:r>
        <w:rPr>
          <w:rFonts w:hint="eastAsia"/>
          <w:u w:val="single"/>
        </w:rPr>
        <w:t>代建招标</w:t>
      </w:r>
      <w:r>
        <w:rPr>
          <w:rFonts w:hint="eastAsia"/>
        </w:rPr>
        <w:t>的评标委员会，对你方的投标文件进行了仔细的审查，现需你方对本通知所附质疑问卷中的问题以书面形式予以澄清、说明或者补正。</w:t>
      </w:r>
    </w:p>
    <w:p>
      <w:pPr>
        <w:spacing w:line="480" w:lineRule="exact"/>
        <w:ind w:firstLine="420" w:firstLineChars="200"/>
      </w:pPr>
      <w:r>
        <w:rPr>
          <w:rFonts w:hint="eastAsia"/>
        </w:rPr>
        <w:t>请将上述问题的澄清、说明或者补正于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rPr>
        <w:t>时前密封递交至（详细地址）或传真至</w:t>
      </w:r>
      <w:r>
        <w:rPr>
          <w:rFonts w:hint="eastAsia"/>
          <w:u w:val="single"/>
        </w:rPr>
        <w:t xml:space="preserve">      </w:t>
      </w:r>
      <w:r>
        <w:rPr>
          <w:rFonts w:hint="eastAsia"/>
        </w:rPr>
        <w:t>（传真号码）。采用传真方式的，应在</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480" w:lineRule="exact"/>
      </w:pPr>
      <w:r>
        <w:rPr>
          <w:rFonts w:hint="eastAsia"/>
          <w:u w:val="single"/>
        </w:rPr>
        <w:t xml:space="preserve">     </w:t>
      </w:r>
      <w:r>
        <w:rPr>
          <w:rFonts w:hint="eastAsia"/>
        </w:rPr>
        <w:t>时前将原件递交至</w:t>
      </w:r>
      <w:r>
        <w:rPr>
          <w:rFonts w:hint="eastAsia"/>
          <w:u w:val="single"/>
        </w:rPr>
        <w:t xml:space="preserve">                         </w:t>
      </w:r>
      <w:r>
        <w:rPr>
          <w:rFonts w:hint="eastAsia"/>
        </w:rPr>
        <w:t xml:space="preserve"> （详细地址）。</w:t>
      </w:r>
    </w:p>
    <w:p>
      <w:pPr>
        <w:spacing w:line="480" w:lineRule="exact"/>
      </w:pPr>
    </w:p>
    <w:p>
      <w:pPr>
        <w:spacing w:line="480" w:lineRule="exact"/>
      </w:pPr>
      <w:r>
        <w:rPr>
          <w:rFonts w:hint="eastAsia"/>
        </w:rPr>
        <w:t>附件：质疑问卷</w:t>
      </w:r>
    </w:p>
    <w:p>
      <w:pPr>
        <w:spacing w:line="480" w:lineRule="exact"/>
        <w:ind w:firstLine="2625" w:firstLineChars="1250"/>
      </w:pPr>
      <w:r>
        <w:rPr>
          <w:rFonts w:hint="eastAsia"/>
        </w:rPr>
        <w:t xml:space="preserve">  </w:t>
      </w:r>
      <w:r>
        <w:rPr>
          <w:rFonts w:hint="eastAsia"/>
          <w:u w:val="single"/>
        </w:rPr>
        <w:t xml:space="preserve">  </w:t>
      </w:r>
      <w:r>
        <w:rPr>
          <w:u w:val="single"/>
        </w:rPr>
        <w:t xml:space="preserve">           </w:t>
      </w:r>
      <w:r>
        <w:rPr>
          <w:rFonts w:hint="eastAsia"/>
          <w:u w:val="single"/>
        </w:rPr>
        <w:t xml:space="preserve">  </w:t>
      </w:r>
      <w:bookmarkStart w:id="13" w:name="_Toc455588663"/>
      <w:bookmarkStart w:id="14" w:name="_Toc41309111"/>
      <w:bookmarkStart w:id="15" w:name="_Toc23240"/>
      <w:r>
        <w:rPr>
          <w:rFonts w:hint="eastAsia"/>
          <w:u w:val="single"/>
        </w:rPr>
        <w:t>（项目名称）</w:t>
      </w:r>
      <w:r>
        <w:rPr>
          <w:rFonts w:hint="eastAsia"/>
        </w:rPr>
        <w:t>代建招标评标委员会</w:t>
      </w:r>
      <w:bookmarkEnd w:id="13"/>
      <w:bookmarkEnd w:id="14"/>
      <w:bookmarkEnd w:id="15"/>
    </w:p>
    <w:p>
      <w:pPr>
        <w:spacing w:line="480" w:lineRule="exact"/>
        <w:ind w:firstLine="2625" w:firstLineChars="1250"/>
      </w:pPr>
      <w:r>
        <w:rPr>
          <w:rFonts w:hint="eastAsia"/>
        </w:rPr>
        <w:t xml:space="preserve">  （经评标委员会授权的招标人代表签字或招标人加盖单位章）</w:t>
      </w:r>
    </w:p>
    <w:p>
      <w:pPr>
        <w:spacing w:line="480" w:lineRule="exact"/>
        <w:ind w:firstLine="4620" w:firstLineChars="2200"/>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480" w:lineRule="exact"/>
        <w:rPr>
          <w:rFonts w:ascii="黑体" w:eastAsia="黑体"/>
          <w:sz w:val="24"/>
        </w:rPr>
      </w:pPr>
      <w:r>
        <w:br w:type="page"/>
      </w:r>
      <w:r>
        <w:rPr>
          <w:rFonts w:hint="eastAsia" w:ascii="黑体" w:eastAsia="黑体"/>
          <w:sz w:val="24"/>
        </w:rPr>
        <w:t>附表三：问题的澄清</w:t>
      </w:r>
    </w:p>
    <w:p>
      <w:pPr>
        <w:spacing w:before="312" w:beforeLines="100" w:after="312" w:afterLines="100" w:line="480" w:lineRule="exact"/>
        <w:jc w:val="center"/>
        <w:rPr>
          <w:rFonts w:ascii="黑体" w:eastAsia="黑体"/>
          <w:sz w:val="28"/>
          <w:szCs w:val="28"/>
        </w:rPr>
      </w:pPr>
      <w:r>
        <w:rPr>
          <w:rFonts w:hint="eastAsia" w:ascii="黑体" w:eastAsia="黑体"/>
          <w:sz w:val="28"/>
          <w:szCs w:val="28"/>
        </w:rPr>
        <w:t>问题的澄清、说明或补正</w:t>
      </w:r>
    </w:p>
    <w:p>
      <w:pPr>
        <w:spacing w:line="400" w:lineRule="exact"/>
        <w:ind w:firstLine="5355" w:firstLineChars="2550"/>
        <w:rPr>
          <w:u w:val="single"/>
        </w:rPr>
      </w:pPr>
      <w:r>
        <w:rPr>
          <w:rFonts w:hint="eastAsia"/>
        </w:rPr>
        <w:t>编号：</w:t>
      </w:r>
      <w:r>
        <w:rPr>
          <w:rFonts w:hint="eastAsia"/>
          <w:u w:val="single"/>
        </w:rPr>
        <w:t xml:space="preserve">                  </w:t>
      </w:r>
    </w:p>
    <w:p>
      <w:pPr>
        <w:spacing w:line="480" w:lineRule="exact"/>
      </w:pPr>
      <w:r>
        <w:rPr>
          <w:rFonts w:hint="eastAsia"/>
        </w:rPr>
        <w:t xml:space="preserve">  </w:t>
      </w:r>
      <w:r>
        <w:rPr>
          <w:rFonts w:hint="eastAsia"/>
          <w:u w:val="single"/>
        </w:rPr>
        <w:t xml:space="preserve">            </w:t>
      </w:r>
      <w:r>
        <w:rPr>
          <w:rFonts w:hint="eastAsia"/>
        </w:rPr>
        <w:t>（项目名称）</w:t>
      </w:r>
      <w:r>
        <w:rPr>
          <w:rFonts w:hint="eastAsia"/>
          <w:u w:val="single"/>
        </w:rPr>
        <w:t>代建招标</w:t>
      </w:r>
      <w:r>
        <w:rPr>
          <w:rFonts w:hint="eastAsia"/>
        </w:rPr>
        <w:t>评标委员会：</w:t>
      </w:r>
    </w:p>
    <w:p>
      <w:pPr>
        <w:spacing w:line="480" w:lineRule="exact"/>
        <w:ind w:firstLine="420" w:firstLineChars="200"/>
      </w:pPr>
      <w:r>
        <w:rPr>
          <w:rFonts w:hint="eastAsia"/>
        </w:rPr>
        <w:t>问题澄清通知（编号：</w:t>
      </w:r>
      <w:r>
        <w:rPr>
          <w:rFonts w:hint="eastAsia"/>
          <w:u w:val="single"/>
        </w:rPr>
        <w:t xml:space="preserve">      </w:t>
      </w:r>
      <w:r>
        <w:rPr>
          <w:rFonts w:hint="eastAsia"/>
        </w:rPr>
        <w:t>）已收悉，现澄清、说明或者补正如下：</w:t>
      </w:r>
    </w:p>
    <w:p>
      <w:pPr>
        <w:spacing w:line="480" w:lineRule="exact"/>
        <w:ind w:firstLine="420" w:firstLineChars="200"/>
      </w:pPr>
      <w:r>
        <w:rPr>
          <w:rFonts w:hint="eastAsia"/>
        </w:rPr>
        <w:t>1.</w:t>
      </w:r>
    </w:p>
    <w:p>
      <w:pPr>
        <w:spacing w:line="480" w:lineRule="exact"/>
        <w:ind w:firstLine="420" w:firstLineChars="200"/>
      </w:pPr>
      <w:r>
        <w:rPr>
          <w:rFonts w:hint="eastAsia"/>
        </w:rPr>
        <w:t>2.</w:t>
      </w:r>
    </w:p>
    <w:p>
      <w:pPr>
        <w:spacing w:line="480" w:lineRule="exact"/>
        <w:ind w:firstLine="420" w:firstLineChars="200"/>
      </w:pPr>
    </w:p>
    <w:p>
      <w:pPr>
        <w:spacing w:line="480" w:lineRule="exact"/>
        <w:ind w:firstLine="420" w:firstLineChars="200"/>
      </w:pPr>
      <w:r>
        <w:rPr>
          <w:rFonts w:hint="eastAsia"/>
        </w:rPr>
        <w:t>……</w:t>
      </w: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wordWrap w:val="0"/>
        <w:spacing w:line="480" w:lineRule="exact"/>
        <w:ind w:firstLine="420" w:firstLineChars="200"/>
        <w:jc w:val="right"/>
      </w:pPr>
      <w:r>
        <w:rPr>
          <w:rFonts w:hint="eastAsia" w:ascii="黑体" w:eastAsia="黑体"/>
        </w:rPr>
        <w:t>投标人：</w:t>
      </w:r>
      <w:r>
        <w:rPr>
          <w:rFonts w:hint="eastAsia"/>
          <w:u w:val="single"/>
        </w:rPr>
        <w:t xml:space="preserve">                           </w:t>
      </w:r>
      <w:r>
        <w:rPr>
          <w:rFonts w:hint="eastAsia"/>
        </w:rPr>
        <w:t xml:space="preserve">（盖单位章） </w:t>
      </w:r>
    </w:p>
    <w:p>
      <w:pPr>
        <w:wordWrap w:val="0"/>
        <w:spacing w:before="156" w:beforeLines="50" w:after="156" w:afterLines="50" w:line="480" w:lineRule="exact"/>
        <w:ind w:right="210"/>
        <w:jc w:val="right"/>
      </w:pPr>
      <w:r>
        <w:rPr>
          <w:rFonts w:hint="eastAsia" w:ascii="黑体" w:eastAsia="黑体"/>
        </w:rPr>
        <w:t>法定代表人或其委托代理人：</w:t>
      </w:r>
      <w:r>
        <w:rPr>
          <w:rFonts w:hint="eastAsia"/>
          <w:u w:val="single"/>
        </w:rPr>
        <w:t xml:space="preserve">      </w:t>
      </w:r>
      <w:r>
        <w:rPr>
          <w:rFonts w:hint="eastAsia"/>
        </w:rPr>
        <w:t xml:space="preserve">（签字）      </w:t>
      </w:r>
    </w:p>
    <w:p>
      <w:pPr>
        <w:spacing w:line="480" w:lineRule="exact"/>
        <w:ind w:firstLine="5775" w:firstLineChars="2750"/>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480" w:lineRule="exact"/>
        <w:rPr>
          <w:rFonts w:ascii="黑体" w:eastAsia="黑体"/>
          <w:sz w:val="24"/>
        </w:rPr>
      </w:pPr>
      <w:r>
        <w:br w:type="page"/>
      </w:r>
      <w:r>
        <w:rPr>
          <w:rFonts w:hint="eastAsia" w:ascii="黑体" w:eastAsia="黑体"/>
          <w:sz w:val="24"/>
        </w:rPr>
        <w:t>附表四：中标通知书</w:t>
      </w:r>
    </w:p>
    <w:p>
      <w:pPr>
        <w:spacing w:before="312" w:beforeLines="100" w:after="312" w:afterLines="100" w:line="480" w:lineRule="exact"/>
        <w:jc w:val="center"/>
        <w:rPr>
          <w:rFonts w:ascii="黑体" w:eastAsia="黑体"/>
          <w:sz w:val="28"/>
          <w:szCs w:val="28"/>
        </w:rPr>
      </w:pPr>
      <w:r>
        <w:rPr>
          <w:rFonts w:hint="eastAsia" w:ascii="黑体" w:eastAsia="黑体"/>
          <w:sz w:val="28"/>
          <w:szCs w:val="28"/>
        </w:rPr>
        <w:t>中标通知书</w:t>
      </w:r>
    </w:p>
    <w:p>
      <w:pPr>
        <w:spacing w:line="480" w:lineRule="exact"/>
      </w:pPr>
      <w:r>
        <w:rPr>
          <w:rFonts w:hint="eastAsia"/>
          <w:u w:val="single"/>
        </w:rPr>
        <w:t xml:space="preserve">               </w:t>
      </w:r>
      <w:r>
        <w:rPr>
          <w:rFonts w:hint="eastAsia"/>
        </w:rPr>
        <w:t>（中标人名称）：</w:t>
      </w:r>
    </w:p>
    <w:p>
      <w:pPr>
        <w:spacing w:line="480" w:lineRule="exact"/>
      </w:pPr>
    </w:p>
    <w:p>
      <w:pPr>
        <w:spacing w:line="480" w:lineRule="exact"/>
        <w:ind w:firstLine="420" w:firstLineChars="200"/>
      </w:pPr>
      <w:r>
        <w:rPr>
          <w:rFonts w:hint="eastAsia"/>
        </w:rPr>
        <w:t>你方于</w:t>
      </w:r>
      <w:r>
        <w:rPr>
          <w:rFonts w:hint="eastAsia"/>
          <w:u w:val="single"/>
        </w:rPr>
        <w:t xml:space="preserve">             </w:t>
      </w:r>
      <w:r>
        <w:rPr>
          <w:rFonts w:hint="eastAsia"/>
        </w:rPr>
        <w:t>（投标日期）所递交的</w:t>
      </w:r>
      <w:r>
        <w:rPr>
          <w:rFonts w:hint="eastAsia"/>
          <w:u w:val="single"/>
        </w:rPr>
        <w:t xml:space="preserve">          </w:t>
      </w:r>
      <w:r>
        <w:rPr>
          <w:rFonts w:hint="eastAsia"/>
        </w:rPr>
        <w:t>（项目名称）</w:t>
      </w:r>
      <w:r>
        <w:rPr>
          <w:rFonts w:hint="eastAsia"/>
          <w:u w:val="single"/>
        </w:rPr>
        <w:t>代建招标</w:t>
      </w:r>
      <w:r>
        <w:rPr>
          <w:rFonts w:hint="eastAsia"/>
        </w:rPr>
        <w:t>文件已被我方接受，被确定为中标人。</w:t>
      </w:r>
    </w:p>
    <w:p>
      <w:pPr>
        <w:spacing w:line="480" w:lineRule="exact"/>
        <w:ind w:firstLine="420" w:firstLineChars="200"/>
      </w:pPr>
      <w:r>
        <w:rPr>
          <w:rFonts w:hint="eastAsia"/>
        </w:rPr>
        <w:t>中标价：</w:t>
      </w:r>
      <w:r>
        <w:rPr>
          <w:rFonts w:hint="eastAsia"/>
          <w:u w:val="single"/>
        </w:rPr>
        <w:t xml:space="preserve">                     </w:t>
      </w:r>
      <w:r>
        <w:rPr>
          <w:rFonts w:hint="eastAsia"/>
        </w:rPr>
        <w:t>元。</w:t>
      </w:r>
    </w:p>
    <w:p>
      <w:pPr>
        <w:spacing w:line="480" w:lineRule="exact"/>
        <w:ind w:firstLine="420" w:firstLineChars="200"/>
      </w:pPr>
      <w:r>
        <w:rPr>
          <w:rFonts w:hint="eastAsia"/>
        </w:rPr>
        <w:t>工    期：</w:t>
      </w:r>
      <w:r>
        <w:rPr>
          <w:rFonts w:hint="eastAsia"/>
          <w:u w:val="single"/>
        </w:rPr>
        <w:t xml:space="preserve">                     </w:t>
      </w:r>
      <w:r>
        <w:rPr>
          <w:rFonts w:hint="eastAsia"/>
        </w:rPr>
        <w:t>日历天。</w:t>
      </w:r>
    </w:p>
    <w:p>
      <w:pPr>
        <w:spacing w:line="480" w:lineRule="exact"/>
        <w:ind w:firstLine="420" w:firstLineChars="200"/>
      </w:pPr>
      <w:r>
        <w:rPr>
          <w:rFonts w:hint="eastAsia"/>
        </w:rPr>
        <w:t>工程质量：符合</w:t>
      </w:r>
      <w:r>
        <w:rPr>
          <w:rFonts w:hint="eastAsia"/>
          <w:u w:val="single"/>
        </w:rPr>
        <w:t xml:space="preserve">                         </w:t>
      </w:r>
      <w:r>
        <w:rPr>
          <w:rFonts w:hint="eastAsia"/>
        </w:rPr>
        <w:t>标准。</w:t>
      </w:r>
    </w:p>
    <w:p>
      <w:pPr>
        <w:spacing w:line="480" w:lineRule="exact"/>
        <w:ind w:firstLine="420" w:firstLineChars="200"/>
      </w:pPr>
      <w:r>
        <w:rPr>
          <w:rFonts w:hint="eastAsia"/>
        </w:rPr>
        <w:t>项目经理：</w:t>
      </w:r>
      <w:r>
        <w:rPr>
          <w:rFonts w:hint="eastAsia"/>
          <w:u w:val="single"/>
        </w:rPr>
        <w:t xml:space="preserve">               </w:t>
      </w:r>
      <w:r>
        <w:rPr>
          <w:rFonts w:hint="eastAsia"/>
        </w:rPr>
        <w:t>（姓名）。</w:t>
      </w:r>
    </w:p>
    <w:p>
      <w:pPr>
        <w:spacing w:line="480" w:lineRule="exact"/>
        <w:ind w:firstLine="420" w:firstLineChars="200"/>
      </w:pPr>
    </w:p>
    <w:p>
      <w:pPr>
        <w:spacing w:line="480" w:lineRule="exact"/>
        <w:ind w:firstLine="420" w:firstLineChars="200"/>
      </w:pPr>
      <w:r>
        <w:rPr>
          <w:rFonts w:hint="eastAsia"/>
        </w:rPr>
        <w:t>请你方在接到本通知书后的</w:t>
      </w:r>
      <w:r>
        <w:rPr>
          <w:rFonts w:hint="eastAsia"/>
          <w:u w:val="single"/>
        </w:rPr>
        <w:t xml:space="preserve">      </w:t>
      </w:r>
      <w:r>
        <w:rPr>
          <w:rFonts w:hint="eastAsia"/>
        </w:rPr>
        <w:t>日内到</w:t>
      </w:r>
      <w:r>
        <w:rPr>
          <w:rFonts w:hint="eastAsia"/>
          <w:u w:val="single"/>
        </w:rPr>
        <w:t xml:space="preserve">                         </w:t>
      </w:r>
      <w:r>
        <w:rPr>
          <w:rFonts w:hint="eastAsia"/>
        </w:rPr>
        <w:t>（指定地点）与我方签订代建合同，在此之前按招标文件第二章“投标人须知”第7.3款规定向我方提交履约担保。</w:t>
      </w:r>
    </w:p>
    <w:p>
      <w:pPr>
        <w:spacing w:line="480" w:lineRule="exact"/>
        <w:ind w:firstLine="420" w:firstLineChars="200"/>
      </w:pPr>
      <w:r>
        <w:rPr>
          <w:rFonts w:hint="eastAsia"/>
        </w:rPr>
        <w:t>特此通知。</w:t>
      </w: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wordWrap w:val="0"/>
        <w:spacing w:line="480" w:lineRule="exact"/>
        <w:ind w:firstLine="420" w:firstLineChars="200"/>
        <w:jc w:val="right"/>
      </w:pPr>
      <w:r>
        <w:rPr>
          <w:rFonts w:hint="eastAsia" w:ascii="黑体" w:eastAsia="黑体"/>
        </w:rPr>
        <w:t>招标人：</w:t>
      </w:r>
      <w:r>
        <w:rPr>
          <w:rFonts w:hint="eastAsia"/>
          <w:u w:val="single"/>
        </w:rPr>
        <w:t xml:space="preserve">                  </w:t>
      </w:r>
      <w:r>
        <w:rPr>
          <w:rFonts w:hint="eastAsia"/>
        </w:rPr>
        <w:t xml:space="preserve">（盖单位章）    </w:t>
      </w:r>
    </w:p>
    <w:p>
      <w:pPr>
        <w:wordWrap w:val="0"/>
        <w:spacing w:line="480" w:lineRule="exact"/>
        <w:jc w:val="right"/>
      </w:pPr>
      <w:r>
        <w:rPr>
          <w:rFonts w:hint="eastAsia" w:ascii="黑体" w:eastAsia="黑体"/>
        </w:rPr>
        <w:t>法定代表人：</w:t>
      </w:r>
      <w:r>
        <w:rPr>
          <w:rFonts w:hint="eastAsia"/>
          <w:u w:val="single"/>
        </w:rPr>
        <w:t xml:space="preserve">               </w:t>
      </w:r>
      <w:r>
        <w:rPr>
          <w:rFonts w:hint="eastAsia"/>
        </w:rPr>
        <w:t xml:space="preserve">（签字）       </w:t>
      </w:r>
    </w:p>
    <w:p>
      <w:pPr>
        <w:spacing w:line="480" w:lineRule="exact"/>
        <w:ind w:firstLine="5145" w:firstLineChars="2450"/>
      </w:pPr>
      <w:r>
        <w:rPr>
          <w:rFonts w:hint="eastAsia"/>
        </w:rPr>
        <w:t xml:space="preserve">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480" w:lineRule="exact"/>
        <w:rPr>
          <w:rFonts w:ascii="黑体" w:eastAsia="黑体"/>
          <w:sz w:val="24"/>
        </w:rPr>
      </w:pPr>
      <w:r>
        <w:br w:type="page"/>
      </w:r>
      <w:r>
        <w:rPr>
          <w:rFonts w:hint="eastAsia" w:ascii="黑体" w:eastAsia="黑体"/>
          <w:sz w:val="24"/>
        </w:rPr>
        <w:t>附表五：中标结果通知书</w:t>
      </w:r>
    </w:p>
    <w:p>
      <w:pPr>
        <w:spacing w:before="312" w:beforeLines="100" w:after="312" w:afterLines="100" w:line="480" w:lineRule="exact"/>
        <w:jc w:val="center"/>
        <w:rPr>
          <w:rFonts w:ascii="黑体" w:eastAsia="黑体"/>
          <w:sz w:val="28"/>
          <w:szCs w:val="28"/>
        </w:rPr>
      </w:pPr>
      <w:r>
        <w:rPr>
          <w:rFonts w:hint="eastAsia" w:ascii="黑体" w:eastAsia="黑体"/>
          <w:sz w:val="28"/>
          <w:szCs w:val="28"/>
        </w:rPr>
        <w:t>中标结果通知书</w:t>
      </w:r>
    </w:p>
    <w:p>
      <w:pPr>
        <w:spacing w:line="480" w:lineRule="exact"/>
      </w:pPr>
      <w:r>
        <w:rPr>
          <w:rFonts w:hint="eastAsia"/>
          <w:u w:val="single"/>
        </w:rPr>
        <w:t xml:space="preserve">                      </w:t>
      </w:r>
      <w:r>
        <w:rPr>
          <w:rFonts w:hint="eastAsia"/>
        </w:rPr>
        <w:t>（未中标人名称）：</w:t>
      </w:r>
    </w:p>
    <w:p>
      <w:pPr>
        <w:spacing w:line="480" w:lineRule="exact"/>
      </w:pPr>
    </w:p>
    <w:p>
      <w:pPr>
        <w:spacing w:line="480" w:lineRule="exact"/>
        <w:ind w:firstLine="420" w:firstLineChars="200"/>
      </w:pPr>
      <w:r>
        <w:rPr>
          <w:rFonts w:hint="eastAsia"/>
        </w:rPr>
        <w:t>我方已接受</w:t>
      </w:r>
      <w:r>
        <w:rPr>
          <w:rFonts w:hint="eastAsia"/>
          <w:u w:val="single"/>
        </w:rPr>
        <w:t xml:space="preserve">                   </w:t>
      </w:r>
      <w:r>
        <w:rPr>
          <w:rFonts w:hint="eastAsia"/>
        </w:rPr>
        <w:t>（中标人名称）于</w:t>
      </w:r>
      <w:r>
        <w:rPr>
          <w:rFonts w:hint="eastAsia"/>
          <w:u w:val="single"/>
        </w:rPr>
        <w:t xml:space="preserve">                       </w:t>
      </w:r>
      <w:r>
        <w:rPr>
          <w:rFonts w:hint="eastAsia"/>
        </w:rPr>
        <w:t>（投标日期）所递交的</w:t>
      </w:r>
      <w:r>
        <w:rPr>
          <w:rFonts w:hint="eastAsia"/>
          <w:u w:val="single"/>
        </w:rPr>
        <w:t xml:space="preserve">           </w:t>
      </w:r>
      <w:r>
        <w:rPr>
          <w:rFonts w:hint="eastAsia"/>
        </w:rPr>
        <w:t>（项目名称）</w:t>
      </w:r>
      <w:r>
        <w:rPr>
          <w:rFonts w:hint="eastAsia"/>
          <w:u w:val="single"/>
        </w:rPr>
        <w:t>代建招标</w:t>
      </w:r>
      <w:r>
        <w:rPr>
          <w:rFonts w:hint="eastAsia"/>
        </w:rPr>
        <w:t>投标文件，确定</w:t>
      </w:r>
      <w:r>
        <w:rPr>
          <w:rFonts w:hint="eastAsia"/>
          <w:u w:val="single"/>
        </w:rPr>
        <w:t xml:space="preserve">         </w:t>
      </w:r>
      <w:r>
        <w:rPr>
          <w:rFonts w:hint="eastAsia"/>
        </w:rPr>
        <w:t>（中标人名称）为中标人。</w:t>
      </w:r>
    </w:p>
    <w:p>
      <w:pPr>
        <w:spacing w:line="480" w:lineRule="exact"/>
        <w:ind w:firstLine="420" w:firstLineChars="200"/>
      </w:pPr>
    </w:p>
    <w:p>
      <w:pPr>
        <w:spacing w:line="480" w:lineRule="exact"/>
        <w:ind w:firstLine="420" w:firstLineChars="200"/>
      </w:pPr>
      <w:r>
        <w:rPr>
          <w:rFonts w:hint="eastAsia"/>
        </w:rPr>
        <w:t>感谢你单位对我方工作的大力支持!</w:t>
      </w: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wordWrap w:val="0"/>
        <w:spacing w:line="480" w:lineRule="exact"/>
        <w:ind w:firstLine="420" w:firstLineChars="200"/>
        <w:jc w:val="right"/>
      </w:pPr>
      <w:r>
        <w:rPr>
          <w:rFonts w:hint="eastAsia" w:ascii="黑体" w:eastAsia="黑体"/>
        </w:rPr>
        <w:t>招标人：</w:t>
      </w:r>
      <w:r>
        <w:rPr>
          <w:rFonts w:hint="eastAsia"/>
          <w:u w:val="single"/>
        </w:rPr>
        <w:t xml:space="preserve">               </w:t>
      </w:r>
      <w:r>
        <w:rPr>
          <w:rFonts w:hint="eastAsia"/>
        </w:rPr>
        <w:t xml:space="preserve">（盖单位章）        </w:t>
      </w:r>
    </w:p>
    <w:p>
      <w:pPr>
        <w:wordWrap w:val="0"/>
        <w:spacing w:line="480" w:lineRule="exact"/>
        <w:ind w:firstLine="420" w:firstLineChars="200"/>
        <w:jc w:val="right"/>
      </w:pPr>
      <w:r>
        <w:rPr>
          <w:rFonts w:hint="eastAsia" w:ascii="黑体" w:eastAsia="黑体"/>
        </w:rPr>
        <w:t>法定代表人：</w:t>
      </w:r>
      <w:r>
        <w:rPr>
          <w:rFonts w:hint="eastAsia"/>
          <w:u w:val="single"/>
        </w:rPr>
        <w:t xml:space="preserve">              </w:t>
      </w:r>
      <w:r>
        <w:rPr>
          <w:rFonts w:hint="eastAsia"/>
        </w:rPr>
        <w:t xml:space="preserve"> （签字）        </w:t>
      </w:r>
    </w:p>
    <w:p>
      <w:pPr>
        <w:spacing w:line="480" w:lineRule="exact"/>
        <w:ind w:firstLine="4689" w:firstLineChars="2233"/>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480" w:lineRule="exact"/>
        <w:rPr>
          <w:rFonts w:ascii="黑体" w:eastAsia="黑体"/>
          <w:sz w:val="24"/>
        </w:rPr>
      </w:pPr>
      <w:r>
        <w:br w:type="page"/>
      </w:r>
      <w:r>
        <w:rPr>
          <w:rFonts w:hint="eastAsia" w:ascii="黑体" w:eastAsia="黑体"/>
          <w:sz w:val="24"/>
        </w:rPr>
        <w:t>附表六：确认通知</w:t>
      </w:r>
    </w:p>
    <w:p>
      <w:pPr>
        <w:spacing w:before="312" w:beforeLines="100" w:after="312" w:afterLines="100" w:line="480" w:lineRule="exact"/>
        <w:jc w:val="center"/>
        <w:rPr>
          <w:rFonts w:ascii="黑体" w:eastAsia="黑体"/>
          <w:sz w:val="28"/>
          <w:szCs w:val="28"/>
        </w:rPr>
      </w:pPr>
      <w:r>
        <w:rPr>
          <w:rFonts w:hint="eastAsia" w:ascii="黑体" w:eastAsia="黑体"/>
          <w:sz w:val="28"/>
          <w:szCs w:val="28"/>
        </w:rPr>
        <w:t>确认通知</w:t>
      </w:r>
    </w:p>
    <w:p>
      <w:pPr>
        <w:spacing w:line="480" w:lineRule="exact"/>
      </w:pPr>
      <w:r>
        <w:rPr>
          <w:rFonts w:hint="eastAsia"/>
          <w:u w:val="single"/>
        </w:rPr>
        <w:t xml:space="preserve">            </w:t>
      </w:r>
      <w:r>
        <w:rPr>
          <w:rFonts w:hint="eastAsia"/>
        </w:rPr>
        <w:t>（招标人名称）：</w:t>
      </w:r>
    </w:p>
    <w:p>
      <w:pPr>
        <w:spacing w:line="480" w:lineRule="exact"/>
      </w:pPr>
    </w:p>
    <w:p>
      <w:pPr>
        <w:spacing w:line="480" w:lineRule="exact"/>
        <w:ind w:firstLine="420" w:firstLineChars="200"/>
      </w:pPr>
      <w:r>
        <w:rPr>
          <w:rFonts w:hint="eastAsia"/>
        </w:rPr>
        <w:t>你方</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日发出的</w:t>
      </w:r>
      <w:r>
        <w:rPr>
          <w:rFonts w:hint="eastAsia"/>
          <w:u w:val="single"/>
        </w:rPr>
        <w:t xml:space="preserve">       </w:t>
      </w:r>
      <w:r>
        <w:rPr>
          <w:rFonts w:hint="eastAsia"/>
        </w:rPr>
        <w:t>（项目名称）</w:t>
      </w:r>
      <w:r>
        <w:rPr>
          <w:rFonts w:hint="eastAsia"/>
          <w:u w:val="single"/>
        </w:rPr>
        <w:t>代建招标</w:t>
      </w:r>
      <w:r>
        <w:rPr>
          <w:rFonts w:hint="eastAsia"/>
        </w:rPr>
        <w:t>关于</w:t>
      </w:r>
    </w:p>
    <w:p>
      <w:pPr>
        <w:spacing w:line="480" w:lineRule="exact"/>
      </w:pPr>
      <w:r>
        <w:rPr>
          <w:rFonts w:hint="eastAsia"/>
          <w:u w:val="single"/>
        </w:rPr>
        <w:t xml:space="preserve">                         </w:t>
      </w:r>
      <w:r>
        <w:rPr>
          <w:rFonts w:hint="eastAsia"/>
        </w:rPr>
        <w:t>的通知，我方已于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日收到。</w:t>
      </w:r>
    </w:p>
    <w:p>
      <w:pPr>
        <w:spacing w:line="480" w:lineRule="exact"/>
        <w:ind w:firstLine="420" w:firstLineChars="200"/>
      </w:pPr>
    </w:p>
    <w:p>
      <w:pPr>
        <w:spacing w:line="480" w:lineRule="exact"/>
        <w:ind w:firstLine="420" w:firstLineChars="200"/>
      </w:pPr>
      <w:r>
        <w:rPr>
          <w:rFonts w:hint="eastAsia"/>
        </w:rPr>
        <w:t>特此确认。</w:t>
      </w:r>
    </w:p>
    <w:p>
      <w:pPr>
        <w:spacing w:line="480" w:lineRule="exact"/>
        <w:ind w:firstLine="420" w:firstLineChars="200"/>
      </w:pPr>
    </w:p>
    <w:p>
      <w:pPr>
        <w:spacing w:line="480" w:lineRule="exact"/>
        <w:ind w:firstLine="420" w:firstLineChars="200"/>
      </w:pPr>
    </w:p>
    <w:p>
      <w:pPr>
        <w:spacing w:line="480" w:lineRule="exact"/>
        <w:ind w:firstLine="420" w:firstLineChars="200"/>
      </w:pPr>
    </w:p>
    <w:p>
      <w:pPr>
        <w:spacing w:line="480" w:lineRule="exact"/>
        <w:ind w:firstLine="420" w:firstLineChars="200"/>
      </w:pPr>
    </w:p>
    <w:p>
      <w:pPr>
        <w:wordWrap w:val="0"/>
        <w:spacing w:line="480" w:lineRule="exact"/>
        <w:ind w:firstLine="420" w:firstLineChars="200"/>
        <w:jc w:val="right"/>
      </w:pPr>
      <w:r>
        <w:rPr>
          <w:rFonts w:hint="eastAsia" w:ascii="黑体" w:eastAsia="黑体"/>
        </w:rPr>
        <w:t>投标人：</w:t>
      </w:r>
      <w:r>
        <w:rPr>
          <w:rFonts w:hint="eastAsia"/>
          <w:u w:val="single"/>
        </w:rPr>
        <w:t xml:space="preserve">              </w:t>
      </w:r>
      <w:r>
        <w:rPr>
          <w:rFonts w:hint="eastAsia"/>
        </w:rPr>
        <w:t xml:space="preserve"> （盖单位章）     </w:t>
      </w:r>
    </w:p>
    <w:p>
      <w:pPr>
        <w:wordWrap w:val="0"/>
        <w:spacing w:line="480" w:lineRule="exact"/>
        <w:jc w:val="right"/>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p>
    <w:p>
      <w:pPr>
        <w:spacing w:line="480" w:lineRule="exact"/>
      </w:pPr>
      <w:r>
        <w:br w:type="page"/>
      </w:r>
    </w:p>
    <w:p>
      <w:pPr>
        <w:pStyle w:val="2"/>
        <w:spacing w:line="240" w:lineRule="auto"/>
        <w:jc w:val="center"/>
        <w:rPr>
          <w:rFonts w:ascii="黑体" w:hAnsi="宋体" w:eastAsia="黑体" w:cs="黑体"/>
          <w:b w:val="0"/>
          <w:kern w:val="0"/>
          <w:szCs w:val="32"/>
        </w:rPr>
      </w:pPr>
      <w:bookmarkStart w:id="16" w:name="_Toc455588664"/>
      <w:bookmarkStart w:id="17" w:name="_Toc358"/>
      <w:bookmarkStart w:id="18" w:name="_Toc9024"/>
      <w:bookmarkStart w:id="19" w:name="_Toc41309511"/>
      <w:r>
        <w:rPr>
          <w:rFonts w:hint="eastAsia" w:ascii="黑体" w:eastAsia="黑体"/>
          <w:b w:val="0"/>
          <w:kern w:val="0"/>
        </w:rPr>
        <w:t>第三章  评标办法（综合评估法）</w:t>
      </w:r>
      <w:bookmarkEnd w:id="16"/>
      <w:bookmarkEnd w:id="17"/>
      <w:bookmarkEnd w:id="18"/>
      <w:bookmarkEnd w:id="19"/>
    </w:p>
    <w:p>
      <w:pPr>
        <w:rPr>
          <w:sz w:val="28"/>
          <w:szCs w:val="28"/>
        </w:rPr>
      </w:pPr>
      <w:bookmarkStart w:id="20" w:name="_Toc455588665"/>
      <w:r>
        <w:rPr>
          <w:rFonts w:hint="eastAsia"/>
          <w:sz w:val="28"/>
          <w:szCs w:val="28"/>
        </w:rPr>
        <w:t>评标办法前附表</w:t>
      </w:r>
      <w:bookmarkEnd w:id="20"/>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443"/>
        <w:gridCol w:w="1907"/>
        <w:gridCol w:w="435"/>
        <w:gridCol w:w="4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3" w:type="dxa"/>
            <w:gridSpan w:val="2"/>
            <w:vAlign w:val="center"/>
          </w:tcPr>
          <w:p>
            <w:pPr>
              <w:jc w:val="center"/>
              <w:rPr>
                <w:rFonts w:ascii="宋体"/>
                <w:szCs w:val="21"/>
              </w:rPr>
            </w:pPr>
            <w:r>
              <w:rPr>
                <w:rFonts w:hint="eastAsia" w:ascii="宋体" w:hAnsi="宋体"/>
                <w:szCs w:val="21"/>
              </w:rPr>
              <w:t>条款号</w:t>
            </w:r>
          </w:p>
        </w:tc>
        <w:tc>
          <w:tcPr>
            <w:tcW w:w="2342" w:type="dxa"/>
            <w:gridSpan w:val="2"/>
            <w:vAlign w:val="center"/>
          </w:tcPr>
          <w:p>
            <w:pPr>
              <w:jc w:val="center"/>
              <w:rPr>
                <w:rFonts w:ascii="宋体"/>
                <w:szCs w:val="21"/>
              </w:rPr>
            </w:pPr>
            <w:r>
              <w:rPr>
                <w:rFonts w:hint="eastAsia" w:ascii="宋体" w:hAnsi="宋体"/>
                <w:szCs w:val="21"/>
              </w:rPr>
              <w:t>评审因素</w:t>
            </w:r>
          </w:p>
        </w:tc>
        <w:tc>
          <w:tcPr>
            <w:tcW w:w="4390" w:type="dxa"/>
            <w:vAlign w:val="center"/>
          </w:tcPr>
          <w:p>
            <w:pPr>
              <w:jc w:val="center"/>
              <w:rPr>
                <w:rFonts w:ascii="宋体"/>
                <w:szCs w:val="21"/>
              </w:rPr>
            </w:pPr>
            <w:r>
              <w:rPr>
                <w:rFonts w:hint="eastAsia" w:ascii="宋体" w:hAnsi="宋体"/>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50" w:type="dxa"/>
            <w:vMerge w:val="restart"/>
            <w:vAlign w:val="center"/>
          </w:tcPr>
          <w:p>
            <w:pPr>
              <w:jc w:val="center"/>
              <w:rPr>
                <w:rFonts w:ascii="宋体"/>
                <w:szCs w:val="21"/>
              </w:rPr>
            </w:pPr>
            <w:r>
              <w:rPr>
                <w:rFonts w:hint="eastAsia" w:ascii="宋体" w:hAnsi="宋体"/>
                <w:szCs w:val="21"/>
              </w:rPr>
              <w:t>2.1.1</w:t>
            </w:r>
          </w:p>
        </w:tc>
        <w:tc>
          <w:tcPr>
            <w:tcW w:w="1443" w:type="dxa"/>
            <w:vMerge w:val="restart"/>
            <w:vAlign w:val="center"/>
          </w:tcPr>
          <w:p>
            <w:pPr>
              <w:jc w:val="center"/>
              <w:rPr>
                <w:rFonts w:ascii="宋体"/>
                <w:szCs w:val="21"/>
              </w:rPr>
            </w:pPr>
            <w:r>
              <w:rPr>
                <w:rFonts w:hint="eastAsia" w:ascii="宋体" w:hAnsi="宋体"/>
                <w:szCs w:val="21"/>
              </w:rPr>
              <w:t>形式评审</w:t>
            </w:r>
          </w:p>
          <w:p>
            <w:pPr>
              <w:jc w:val="center"/>
              <w:rPr>
                <w:rFonts w:ascii="宋体"/>
                <w:szCs w:val="21"/>
              </w:rPr>
            </w:pPr>
            <w:r>
              <w:rPr>
                <w:rFonts w:hint="eastAsia" w:ascii="宋体" w:hAnsi="宋体"/>
                <w:szCs w:val="21"/>
              </w:rPr>
              <w:t>标准</w:t>
            </w:r>
          </w:p>
        </w:tc>
        <w:tc>
          <w:tcPr>
            <w:tcW w:w="2342" w:type="dxa"/>
            <w:gridSpan w:val="2"/>
            <w:vAlign w:val="center"/>
          </w:tcPr>
          <w:p>
            <w:pPr>
              <w:rPr>
                <w:rFonts w:ascii="宋体"/>
                <w:szCs w:val="21"/>
              </w:rPr>
            </w:pPr>
            <w:r>
              <w:rPr>
                <w:rFonts w:hint="eastAsia" w:ascii="宋体" w:hAnsi="宋体"/>
                <w:szCs w:val="21"/>
              </w:rPr>
              <w:t>投标人名称</w:t>
            </w:r>
          </w:p>
        </w:tc>
        <w:tc>
          <w:tcPr>
            <w:tcW w:w="4390" w:type="dxa"/>
            <w:vAlign w:val="center"/>
          </w:tcPr>
          <w:p>
            <w:pPr>
              <w:rPr>
                <w:rFonts w:ascii="宋体"/>
                <w:szCs w:val="21"/>
              </w:rPr>
            </w:pPr>
            <w:r>
              <w:rPr>
                <w:rFonts w:hint="eastAsia" w:ascii="宋体" w:hAnsi="宋体"/>
                <w:szCs w:val="21"/>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0" w:type="dxa"/>
            <w:vMerge w:val="continue"/>
            <w:vAlign w:val="center"/>
          </w:tcPr>
          <w:p>
            <w:pPr>
              <w:widowControl/>
              <w:jc w:val="left"/>
              <w:rPr>
                <w:rFonts w:ascii="宋体"/>
                <w:szCs w:val="21"/>
              </w:rPr>
            </w:pPr>
          </w:p>
        </w:tc>
        <w:tc>
          <w:tcPr>
            <w:tcW w:w="1443" w:type="dxa"/>
            <w:vMerge w:val="continue"/>
            <w:vAlign w:val="center"/>
          </w:tcPr>
          <w:p>
            <w:pPr>
              <w:widowControl/>
              <w:jc w:val="left"/>
              <w:rPr>
                <w:rFonts w:ascii="宋体"/>
                <w:szCs w:val="21"/>
              </w:rPr>
            </w:pPr>
          </w:p>
        </w:tc>
        <w:tc>
          <w:tcPr>
            <w:tcW w:w="2342" w:type="dxa"/>
            <w:gridSpan w:val="2"/>
            <w:vAlign w:val="center"/>
          </w:tcPr>
          <w:p>
            <w:pPr>
              <w:rPr>
                <w:rFonts w:ascii="宋体"/>
                <w:szCs w:val="21"/>
              </w:rPr>
            </w:pPr>
            <w:r>
              <w:rPr>
                <w:rFonts w:hint="eastAsia" w:ascii="宋体" w:hAnsi="宋体"/>
                <w:szCs w:val="21"/>
              </w:rPr>
              <w:t>投标函签字盖章</w:t>
            </w:r>
          </w:p>
        </w:tc>
        <w:tc>
          <w:tcPr>
            <w:tcW w:w="4390" w:type="dxa"/>
            <w:vAlign w:val="center"/>
          </w:tcPr>
          <w:p>
            <w:pPr>
              <w:rPr>
                <w:rFonts w:ascii="宋体"/>
                <w:szCs w:val="21"/>
              </w:rPr>
            </w:pPr>
            <w:r>
              <w:rPr>
                <w:rFonts w:hint="eastAsia" w:ascii="宋体" w:hAnsi="宋体"/>
                <w:szCs w:val="21"/>
              </w:rPr>
              <w:t>有法定代表人或其委托代理人签字并加盖单位章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50" w:type="dxa"/>
            <w:vMerge w:val="continue"/>
            <w:vAlign w:val="center"/>
          </w:tcPr>
          <w:p>
            <w:pPr>
              <w:widowControl/>
              <w:jc w:val="left"/>
              <w:rPr>
                <w:rFonts w:ascii="宋体"/>
                <w:szCs w:val="21"/>
              </w:rPr>
            </w:pPr>
          </w:p>
        </w:tc>
        <w:tc>
          <w:tcPr>
            <w:tcW w:w="1443" w:type="dxa"/>
            <w:vMerge w:val="continue"/>
            <w:vAlign w:val="center"/>
          </w:tcPr>
          <w:p>
            <w:pPr>
              <w:widowControl/>
              <w:jc w:val="left"/>
              <w:rPr>
                <w:rFonts w:ascii="宋体"/>
                <w:szCs w:val="21"/>
              </w:rPr>
            </w:pPr>
          </w:p>
        </w:tc>
        <w:tc>
          <w:tcPr>
            <w:tcW w:w="2342" w:type="dxa"/>
            <w:gridSpan w:val="2"/>
            <w:vAlign w:val="center"/>
          </w:tcPr>
          <w:p>
            <w:pPr>
              <w:rPr>
                <w:rFonts w:ascii="宋体"/>
                <w:szCs w:val="21"/>
              </w:rPr>
            </w:pPr>
            <w:r>
              <w:rPr>
                <w:rFonts w:hint="eastAsia" w:ascii="宋体" w:hAnsi="宋体"/>
                <w:szCs w:val="21"/>
              </w:rPr>
              <w:t>报价唯一</w:t>
            </w:r>
          </w:p>
        </w:tc>
        <w:tc>
          <w:tcPr>
            <w:tcW w:w="4390" w:type="dxa"/>
            <w:vAlign w:val="center"/>
          </w:tcPr>
          <w:p>
            <w:pPr>
              <w:rPr>
                <w:rFonts w:ascii="宋体"/>
                <w:szCs w:val="21"/>
              </w:rPr>
            </w:pPr>
            <w:r>
              <w:rPr>
                <w:rFonts w:hint="eastAsia" w:ascii="宋体" w:hAnsi="宋体"/>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750" w:type="dxa"/>
            <w:vMerge w:val="restart"/>
            <w:vAlign w:val="center"/>
          </w:tcPr>
          <w:p>
            <w:pPr>
              <w:jc w:val="center"/>
              <w:rPr>
                <w:rFonts w:ascii="宋体"/>
                <w:szCs w:val="21"/>
              </w:rPr>
            </w:pPr>
            <w:r>
              <w:rPr>
                <w:rFonts w:hint="eastAsia" w:ascii="宋体" w:hAnsi="宋体"/>
                <w:szCs w:val="21"/>
              </w:rPr>
              <w:t>2.1.2</w:t>
            </w:r>
          </w:p>
        </w:tc>
        <w:tc>
          <w:tcPr>
            <w:tcW w:w="1443" w:type="dxa"/>
            <w:vMerge w:val="restart"/>
            <w:vAlign w:val="center"/>
          </w:tcPr>
          <w:p>
            <w:pPr>
              <w:jc w:val="center"/>
              <w:rPr>
                <w:rFonts w:ascii="宋体" w:hAnsi="宋体"/>
                <w:szCs w:val="21"/>
              </w:rPr>
            </w:pPr>
            <w:r>
              <w:rPr>
                <w:rFonts w:hint="eastAsia" w:ascii="宋体" w:hAnsi="宋体"/>
                <w:szCs w:val="21"/>
              </w:rPr>
              <w:t>资格评审</w:t>
            </w:r>
          </w:p>
          <w:p>
            <w:pPr>
              <w:jc w:val="center"/>
              <w:rPr>
                <w:rFonts w:ascii="宋体"/>
                <w:szCs w:val="21"/>
              </w:rPr>
            </w:pPr>
            <w:r>
              <w:rPr>
                <w:rFonts w:hint="eastAsia" w:ascii="宋体" w:hAnsi="宋体"/>
                <w:szCs w:val="21"/>
              </w:rPr>
              <w:t>标准</w:t>
            </w:r>
          </w:p>
        </w:tc>
        <w:tc>
          <w:tcPr>
            <w:tcW w:w="2342" w:type="dxa"/>
            <w:gridSpan w:val="2"/>
            <w:vAlign w:val="center"/>
          </w:tcPr>
          <w:p>
            <w:pPr>
              <w:rPr>
                <w:rFonts w:ascii="宋体"/>
                <w:szCs w:val="21"/>
              </w:rPr>
            </w:pPr>
            <w:r>
              <w:rPr>
                <w:rFonts w:hint="eastAsia" w:ascii="宋体" w:hAnsi="宋体"/>
                <w:szCs w:val="21"/>
              </w:rPr>
              <w:t>营业执照</w:t>
            </w:r>
          </w:p>
        </w:tc>
        <w:tc>
          <w:tcPr>
            <w:tcW w:w="4390" w:type="dxa"/>
            <w:vAlign w:val="center"/>
          </w:tcPr>
          <w:p>
            <w:pPr>
              <w:rPr>
                <w:rFonts w:ascii="宋体"/>
                <w:szCs w:val="21"/>
              </w:rPr>
            </w:pPr>
            <w:r>
              <w:rPr>
                <w:rFonts w:hint="eastAsia" w:ascii="宋体" w:hAnsi="宋体"/>
                <w:szCs w:val="21"/>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50" w:type="dxa"/>
            <w:vMerge w:val="continue"/>
            <w:vAlign w:val="center"/>
          </w:tcPr>
          <w:p>
            <w:pPr>
              <w:widowControl/>
              <w:jc w:val="left"/>
              <w:rPr>
                <w:rFonts w:ascii="宋体"/>
                <w:szCs w:val="21"/>
              </w:rPr>
            </w:pPr>
          </w:p>
        </w:tc>
        <w:tc>
          <w:tcPr>
            <w:tcW w:w="1443" w:type="dxa"/>
            <w:vMerge w:val="continue"/>
            <w:vAlign w:val="center"/>
          </w:tcPr>
          <w:p>
            <w:pPr>
              <w:widowControl/>
              <w:jc w:val="left"/>
              <w:rPr>
                <w:rFonts w:ascii="宋体"/>
                <w:szCs w:val="21"/>
              </w:rPr>
            </w:pPr>
          </w:p>
        </w:tc>
        <w:tc>
          <w:tcPr>
            <w:tcW w:w="2342" w:type="dxa"/>
            <w:gridSpan w:val="2"/>
            <w:vAlign w:val="center"/>
          </w:tcPr>
          <w:p>
            <w:pPr>
              <w:rPr>
                <w:rFonts w:ascii="宋体"/>
                <w:szCs w:val="21"/>
              </w:rPr>
            </w:pPr>
            <w:r>
              <w:rPr>
                <w:rFonts w:hint="eastAsia" w:ascii="宋体" w:hAnsi="宋体"/>
                <w:szCs w:val="21"/>
              </w:rPr>
              <w:t>安全生产许可证（施工单位提供）</w:t>
            </w:r>
          </w:p>
        </w:tc>
        <w:tc>
          <w:tcPr>
            <w:tcW w:w="4390" w:type="dxa"/>
            <w:vAlign w:val="center"/>
          </w:tcPr>
          <w:p>
            <w:pPr>
              <w:rPr>
                <w:rFonts w:ascii="宋体"/>
                <w:szCs w:val="21"/>
              </w:rPr>
            </w:pPr>
            <w:r>
              <w:rPr>
                <w:rFonts w:hint="eastAsia" w:ascii="宋体" w:hAnsi="宋体"/>
                <w:szCs w:val="21"/>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50" w:type="dxa"/>
            <w:vMerge w:val="continue"/>
            <w:vAlign w:val="center"/>
          </w:tcPr>
          <w:p>
            <w:pPr>
              <w:widowControl/>
              <w:jc w:val="left"/>
              <w:rPr>
                <w:rFonts w:ascii="宋体"/>
                <w:szCs w:val="21"/>
              </w:rPr>
            </w:pPr>
          </w:p>
        </w:tc>
        <w:tc>
          <w:tcPr>
            <w:tcW w:w="1443" w:type="dxa"/>
            <w:vMerge w:val="continue"/>
            <w:vAlign w:val="center"/>
          </w:tcPr>
          <w:p>
            <w:pPr>
              <w:widowControl/>
              <w:jc w:val="left"/>
              <w:rPr>
                <w:rFonts w:ascii="宋体"/>
                <w:szCs w:val="21"/>
              </w:rPr>
            </w:pPr>
          </w:p>
        </w:tc>
        <w:tc>
          <w:tcPr>
            <w:tcW w:w="2342" w:type="dxa"/>
            <w:gridSpan w:val="2"/>
            <w:vAlign w:val="center"/>
          </w:tcPr>
          <w:p>
            <w:pPr>
              <w:rPr>
                <w:rFonts w:ascii="宋体"/>
                <w:szCs w:val="21"/>
              </w:rPr>
            </w:pPr>
            <w:r>
              <w:rPr>
                <w:rFonts w:hint="eastAsia" w:ascii="宋体" w:hAnsi="宋体"/>
                <w:szCs w:val="21"/>
              </w:rPr>
              <w:t>资质等级</w:t>
            </w:r>
          </w:p>
        </w:tc>
        <w:tc>
          <w:tcPr>
            <w:tcW w:w="4390" w:type="dxa"/>
            <w:vAlign w:val="center"/>
          </w:tcPr>
          <w:p>
            <w:pPr>
              <w:rPr>
                <w:rFonts w:asci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50" w:type="dxa"/>
            <w:vMerge w:val="continue"/>
            <w:vAlign w:val="center"/>
          </w:tcPr>
          <w:p>
            <w:pPr>
              <w:widowControl/>
              <w:jc w:val="left"/>
              <w:rPr>
                <w:rFonts w:ascii="宋体"/>
                <w:szCs w:val="21"/>
              </w:rPr>
            </w:pPr>
          </w:p>
        </w:tc>
        <w:tc>
          <w:tcPr>
            <w:tcW w:w="1443" w:type="dxa"/>
            <w:vMerge w:val="continue"/>
            <w:vAlign w:val="center"/>
          </w:tcPr>
          <w:p>
            <w:pPr>
              <w:widowControl/>
              <w:jc w:val="left"/>
              <w:rPr>
                <w:rFonts w:ascii="宋体"/>
                <w:szCs w:val="21"/>
              </w:rPr>
            </w:pPr>
          </w:p>
        </w:tc>
        <w:tc>
          <w:tcPr>
            <w:tcW w:w="2342" w:type="dxa"/>
            <w:gridSpan w:val="2"/>
            <w:vAlign w:val="center"/>
          </w:tcPr>
          <w:p>
            <w:pPr>
              <w:rPr>
                <w:rFonts w:ascii="宋体"/>
                <w:szCs w:val="21"/>
              </w:rPr>
            </w:pPr>
            <w:r>
              <w:rPr>
                <w:rFonts w:hint="eastAsia" w:ascii="宋体" w:hAnsi="宋体"/>
                <w:szCs w:val="21"/>
              </w:rPr>
              <w:t>信誉要求</w:t>
            </w:r>
          </w:p>
        </w:tc>
        <w:tc>
          <w:tcPr>
            <w:tcW w:w="4390" w:type="dxa"/>
            <w:vAlign w:val="center"/>
          </w:tcPr>
          <w:p>
            <w:pPr>
              <w:rPr>
                <w:rFonts w:asci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50" w:type="dxa"/>
            <w:vMerge w:val="continue"/>
            <w:vAlign w:val="center"/>
          </w:tcPr>
          <w:p>
            <w:pPr>
              <w:widowControl/>
              <w:jc w:val="left"/>
              <w:rPr>
                <w:rFonts w:ascii="宋体"/>
                <w:szCs w:val="21"/>
              </w:rPr>
            </w:pPr>
          </w:p>
        </w:tc>
        <w:tc>
          <w:tcPr>
            <w:tcW w:w="1443" w:type="dxa"/>
            <w:vMerge w:val="continue"/>
            <w:vAlign w:val="center"/>
          </w:tcPr>
          <w:p>
            <w:pPr>
              <w:widowControl/>
              <w:jc w:val="left"/>
              <w:rPr>
                <w:rFonts w:ascii="宋体"/>
                <w:szCs w:val="21"/>
              </w:rPr>
            </w:pPr>
          </w:p>
        </w:tc>
        <w:tc>
          <w:tcPr>
            <w:tcW w:w="2342" w:type="dxa"/>
            <w:gridSpan w:val="2"/>
            <w:vAlign w:val="center"/>
          </w:tcPr>
          <w:p>
            <w:pPr>
              <w:rPr>
                <w:rFonts w:ascii="宋体"/>
                <w:szCs w:val="21"/>
              </w:rPr>
            </w:pPr>
            <w:r>
              <w:rPr>
                <w:rFonts w:hint="eastAsia" w:ascii="宋体" w:hAnsi="宋体"/>
                <w:szCs w:val="21"/>
              </w:rPr>
              <w:t>项目负责人</w:t>
            </w:r>
          </w:p>
        </w:tc>
        <w:tc>
          <w:tcPr>
            <w:tcW w:w="4390" w:type="dxa"/>
            <w:vAlign w:val="center"/>
          </w:tcPr>
          <w:p>
            <w:pPr>
              <w:rPr>
                <w:rFonts w:asci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750" w:type="dxa"/>
            <w:vMerge w:val="continue"/>
            <w:vAlign w:val="center"/>
          </w:tcPr>
          <w:p>
            <w:pPr>
              <w:widowControl/>
              <w:jc w:val="left"/>
              <w:rPr>
                <w:rFonts w:ascii="宋体"/>
                <w:szCs w:val="21"/>
              </w:rPr>
            </w:pPr>
          </w:p>
        </w:tc>
        <w:tc>
          <w:tcPr>
            <w:tcW w:w="1443" w:type="dxa"/>
            <w:vMerge w:val="continue"/>
            <w:vAlign w:val="center"/>
          </w:tcPr>
          <w:p>
            <w:pPr>
              <w:widowControl/>
              <w:jc w:val="left"/>
              <w:rPr>
                <w:rFonts w:ascii="宋体"/>
                <w:szCs w:val="21"/>
              </w:rPr>
            </w:pPr>
          </w:p>
        </w:tc>
        <w:tc>
          <w:tcPr>
            <w:tcW w:w="2342" w:type="dxa"/>
            <w:gridSpan w:val="2"/>
            <w:vAlign w:val="center"/>
          </w:tcPr>
          <w:p>
            <w:pPr>
              <w:rPr>
                <w:rFonts w:ascii="宋体"/>
                <w:szCs w:val="21"/>
              </w:rPr>
            </w:pPr>
            <w:r>
              <w:rPr>
                <w:rFonts w:hint="eastAsia" w:ascii="宋体" w:hAnsi="宋体"/>
                <w:szCs w:val="21"/>
              </w:rPr>
              <w:t>其他要求</w:t>
            </w:r>
          </w:p>
        </w:tc>
        <w:tc>
          <w:tcPr>
            <w:tcW w:w="4390" w:type="dxa"/>
            <w:vAlign w:val="center"/>
          </w:tcPr>
          <w:p>
            <w:pPr>
              <w:rPr>
                <w:rFonts w:asci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50" w:type="dxa"/>
            <w:vMerge w:val="restart"/>
            <w:vAlign w:val="center"/>
          </w:tcPr>
          <w:p>
            <w:pPr>
              <w:jc w:val="center"/>
              <w:rPr>
                <w:rFonts w:ascii="宋体"/>
                <w:szCs w:val="21"/>
              </w:rPr>
            </w:pPr>
            <w:r>
              <w:rPr>
                <w:rFonts w:hint="eastAsia" w:ascii="宋体" w:hAnsi="宋体"/>
                <w:szCs w:val="21"/>
              </w:rPr>
              <w:t>2.1.3</w:t>
            </w:r>
          </w:p>
        </w:tc>
        <w:tc>
          <w:tcPr>
            <w:tcW w:w="1443" w:type="dxa"/>
            <w:vMerge w:val="restart"/>
            <w:vAlign w:val="center"/>
          </w:tcPr>
          <w:p>
            <w:pPr>
              <w:jc w:val="center"/>
              <w:rPr>
                <w:rFonts w:ascii="宋体"/>
                <w:szCs w:val="21"/>
              </w:rPr>
            </w:pPr>
            <w:r>
              <w:rPr>
                <w:rFonts w:hint="eastAsia" w:ascii="宋体" w:hAnsi="宋体"/>
                <w:szCs w:val="21"/>
              </w:rPr>
              <w:t>响应性</w:t>
            </w:r>
          </w:p>
          <w:p>
            <w:pPr>
              <w:jc w:val="center"/>
              <w:rPr>
                <w:rFonts w:ascii="宋体"/>
                <w:szCs w:val="21"/>
              </w:rPr>
            </w:pPr>
            <w:r>
              <w:rPr>
                <w:rFonts w:hint="eastAsia" w:ascii="宋体" w:hAnsi="宋体"/>
                <w:szCs w:val="21"/>
              </w:rPr>
              <w:t>评审标准</w:t>
            </w:r>
          </w:p>
        </w:tc>
        <w:tc>
          <w:tcPr>
            <w:tcW w:w="2342" w:type="dxa"/>
            <w:gridSpan w:val="2"/>
            <w:vAlign w:val="center"/>
          </w:tcPr>
          <w:p>
            <w:pPr>
              <w:rPr>
                <w:rFonts w:ascii="宋体"/>
                <w:szCs w:val="21"/>
              </w:rPr>
            </w:pPr>
            <w:r>
              <w:rPr>
                <w:rFonts w:hint="eastAsia" w:ascii="宋体" w:hAnsi="宋体"/>
                <w:szCs w:val="21"/>
              </w:rPr>
              <w:t>工期</w:t>
            </w:r>
          </w:p>
        </w:tc>
        <w:tc>
          <w:tcPr>
            <w:tcW w:w="4390" w:type="dxa"/>
            <w:vAlign w:val="center"/>
          </w:tcPr>
          <w:p>
            <w:pPr>
              <w:rPr>
                <w:rFonts w:ascii="宋体"/>
                <w:szCs w:val="21"/>
              </w:rPr>
            </w:pPr>
            <w:r>
              <w:rPr>
                <w:rFonts w:hint="eastAsia" w:ascii="宋体" w:hAnsi="宋体"/>
                <w:szCs w:val="21"/>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750" w:type="dxa"/>
            <w:vMerge w:val="continue"/>
            <w:vAlign w:val="center"/>
          </w:tcPr>
          <w:p>
            <w:pPr>
              <w:widowControl/>
              <w:jc w:val="left"/>
              <w:rPr>
                <w:rFonts w:ascii="宋体"/>
                <w:szCs w:val="21"/>
              </w:rPr>
            </w:pPr>
          </w:p>
        </w:tc>
        <w:tc>
          <w:tcPr>
            <w:tcW w:w="1443" w:type="dxa"/>
            <w:vMerge w:val="continue"/>
            <w:vAlign w:val="center"/>
          </w:tcPr>
          <w:p>
            <w:pPr>
              <w:widowControl/>
              <w:jc w:val="left"/>
              <w:rPr>
                <w:rFonts w:ascii="宋体"/>
                <w:szCs w:val="21"/>
              </w:rPr>
            </w:pPr>
          </w:p>
        </w:tc>
        <w:tc>
          <w:tcPr>
            <w:tcW w:w="2342" w:type="dxa"/>
            <w:gridSpan w:val="2"/>
            <w:vAlign w:val="center"/>
          </w:tcPr>
          <w:p>
            <w:pPr>
              <w:rPr>
                <w:rFonts w:ascii="宋体"/>
                <w:szCs w:val="21"/>
              </w:rPr>
            </w:pPr>
            <w:r>
              <w:rPr>
                <w:rFonts w:hint="eastAsia" w:ascii="宋体" w:hAnsi="宋体"/>
                <w:szCs w:val="21"/>
              </w:rPr>
              <w:t>工程质量</w:t>
            </w:r>
          </w:p>
        </w:tc>
        <w:tc>
          <w:tcPr>
            <w:tcW w:w="4390" w:type="dxa"/>
            <w:vAlign w:val="center"/>
          </w:tcPr>
          <w:p>
            <w:pPr>
              <w:rPr>
                <w:rFonts w:ascii="宋体"/>
                <w:szCs w:val="21"/>
              </w:rPr>
            </w:pPr>
            <w:r>
              <w:rPr>
                <w:rFonts w:hint="eastAsia" w:ascii="宋体" w:hAnsi="宋体"/>
                <w:szCs w:val="21"/>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0" w:type="dxa"/>
            <w:vMerge w:val="continue"/>
            <w:vAlign w:val="center"/>
          </w:tcPr>
          <w:p>
            <w:pPr>
              <w:widowControl/>
              <w:jc w:val="left"/>
              <w:rPr>
                <w:rFonts w:ascii="宋体"/>
                <w:szCs w:val="21"/>
              </w:rPr>
            </w:pPr>
          </w:p>
        </w:tc>
        <w:tc>
          <w:tcPr>
            <w:tcW w:w="1443" w:type="dxa"/>
            <w:vMerge w:val="continue"/>
            <w:vAlign w:val="center"/>
          </w:tcPr>
          <w:p>
            <w:pPr>
              <w:widowControl/>
              <w:jc w:val="left"/>
              <w:rPr>
                <w:rFonts w:ascii="宋体"/>
                <w:szCs w:val="21"/>
              </w:rPr>
            </w:pPr>
          </w:p>
        </w:tc>
        <w:tc>
          <w:tcPr>
            <w:tcW w:w="2342" w:type="dxa"/>
            <w:gridSpan w:val="2"/>
            <w:vAlign w:val="center"/>
          </w:tcPr>
          <w:p>
            <w:pPr>
              <w:rPr>
                <w:rFonts w:ascii="宋体"/>
                <w:szCs w:val="21"/>
              </w:rPr>
            </w:pPr>
            <w:r>
              <w:rPr>
                <w:rFonts w:hint="eastAsia" w:ascii="宋体" w:hAnsi="宋体"/>
                <w:szCs w:val="21"/>
              </w:rPr>
              <w:t>投标保证金</w:t>
            </w:r>
          </w:p>
        </w:tc>
        <w:tc>
          <w:tcPr>
            <w:tcW w:w="4390" w:type="dxa"/>
            <w:vAlign w:val="center"/>
          </w:tcPr>
          <w:p>
            <w:pPr>
              <w:rPr>
                <w:rFonts w:ascii="宋体"/>
                <w:szCs w:val="21"/>
              </w:rPr>
            </w:pPr>
            <w:r>
              <w:rPr>
                <w:rFonts w:hint="eastAsia" w:ascii="宋体" w:hAnsi="宋体"/>
                <w:szCs w:val="21"/>
              </w:rPr>
              <w:t>符合第二章“投标人须知”第3.4.1项规定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193" w:type="dxa"/>
            <w:gridSpan w:val="2"/>
            <w:vAlign w:val="center"/>
          </w:tcPr>
          <w:p>
            <w:pPr>
              <w:jc w:val="center"/>
              <w:rPr>
                <w:rFonts w:ascii="宋体"/>
                <w:szCs w:val="21"/>
              </w:rPr>
            </w:pPr>
            <w:r>
              <w:rPr>
                <w:rFonts w:hint="eastAsia" w:ascii="宋体" w:hAnsi="宋体"/>
                <w:szCs w:val="21"/>
              </w:rPr>
              <w:t>条款号</w:t>
            </w:r>
          </w:p>
        </w:tc>
        <w:tc>
          <w:tcPr>
            <w:tcW w:w="2342" w:type="dxa"/>
            <w:gridSpan w:val="2"/>
            <w:vAlign w:val="center"/>
          </w:tcPr>
          <w:p>
            <w:pPr>
              <w:jc w:val="center"/>
              <w:rPr>
                <w:rFonts w:ascii="宋体"/>
                <w:szCs w:val="21"/>
              </w:rPr>
            </w:pPr>
            <w:r>
              <w:rPr>
                <w:rFonts w:hint="eastAsia" w:ascii="宋体" w:hAnsi="宋体"/>
                <w:szCs w:val="21"/>
              </w:rPr>
              <w:t>条款内容</w:t>
            </w:r>
          </w:p>
        </w:tc>
        <w:tc>
          <w:tcPr>
            <w:tcW w:w="4390" w:type="dxa"/>
            <w:vAlign w:val="center"/>
          </w:tcPr>
          <w:p>
            <w:pPr>
              <w:jc w:val="center"/>
              <w:rPr>
                <w:rFonts w:ascii="宋体"/>
                <w:szCs w:val="21"/>
              </w:rPr>
            </w:pPr>
            <w:r>
              <w:rPr>
                <w:rFonts w:hint="eastAsia" w:ascii="宋体" w:hAnsi="宋体"/>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2193" w:type="dxa"/>
            <w:gridSpan w:val="2"/>
            <w:vAlign w:val="center"/>
          </w:tcPr>
          <w:p>
            <w:pPr>
              <w:jc w:val="center"/>
              <w:rPr>
                <w:rFonts w:ascii="宋体"/>
                <w:szCs w:val="21"/>
              </w:rPr>
            </w:pPr>
            <w:r>
              <w:rPr>
                <w:rFonts w:hint="eastAsia" w:ascii="宋体" w:hAnsi="宋体"/>
                <w:szCs w:val="21"/>
              </w:rPr>
              <w:t>2.2.1</w:t>
            </w:r>
          </w:p>
        </w:tc>
        <w:tc>
          <w:tcPr>
            <w:tcW w:w="2342" w:type="dxa"/>
            <w:gridSpan w:val="2"/>
            <w:vAlign w:val="center"/>
          </w:tcPr>
          <w:p>
            <w:pPr>
              <w:jc w:val="center"/>
              <w:rPr>
                <w:rFonts w:ascii="宋体"/>
                <w:szCs w:val="21"/>
              </w:rPr>
            </w:pPr>
            <w:r>
              <w:rPr>
                <w:rFonts w:hint="eastAsia" w:ascii="宋体" w:hAnsi="宋体"/>
                <w:szCs w:val="21"/>
              </w:rPr>
              <w:t>分值构成</w:t>
            </w:r>
          </w:p>
          <w:p>
            <w:pPr>
              <w:jc w:val="center"/>
              <w:rPr>
                <w:rFonts w:ascii="宋体"/>
                <w:szCs w:val="21"/>
              </w:rPr>
            </w:pPr>
            <w:r>
              <w:rPr>
                <w:rFonts w:hint="eastAsia" w:ascii="宋体" w:hAnsi="宋体"/>
                <w:szCs w:val="21"/>
              </w:rPr>
              <w:t>（总分100分）</w:t>
            </w:r>
          </w:p>
        </w:tc>
        <w:tc>
          <w:tcPr>
            <w:tcW w:w="4390" w:type="dxa"/>
            <w:vAlign w:val="center"/>
          </w:tcPr>
          <w:p>
            <w:r>
              <w:rPr>
                <w:rFonts w:hint="eastAsia"/>
              </w:rPr>
              <w:t>投标报价：30分</w:t>
            </w:r>
          </w:p>
          <w:p>
            <w:r>
              <w:rPr>
                <w:rFonts w:hint="eastAsia"/>
              </w:rPr>
              <w:t>企业业绩：</w:t>
            </w:r>
            <w:r>
              <w:t>20</w:t>
            </w:r>
            <w:r>
              <w:rPr>
                <w:rFonts w:hint="eastAsia"/>
              </w:rPr>
              <w:t>分</w:t>
            </w:r>
          </w:p>
          <w:p>
            <w:r>
              <w:rPr>
                <w:rFonts w:hint="eastAsia"/>
              </w:rPr>
              <w:t>管理机构：1</w:t>
            </w:r>
            <w:r>
              <w:t>0</w:t>
            </w:r>
            <w:r>
              <w:rPr>
                <w:rFonts w:hint="eastAsia"/>
              </w:rPr>
              <w:t>分</w:t>
            </w:r>
          </w:p>
          <w:p>
            <w:pPr>
              <w:rPr>
                <w:rFonts w:ascii="宋体"/>
                <w:szCs w:val="21"/>
              </w:rPr>
            </w:pPr>
            <w:r>
              <w:rPr>
                <w:rFonts w:hint="eastAsia"/>
              </w:rPr>
              <w:t>代建方案：40分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jc w:val="center"/>
        </w:trPr>
        <w:tc>
          <w:tcPr>
            <w:tcW w:w="2193" w:type="dxa"/>
            <w:gridSpan w:val="2"/>
            <w:vAlign w:val="center"/>
          </w:tcPr>
          <w:p>
            <w:pPr>
              <w:jc w:val="center"/>
              <w:rPr>
                <w:rFonts w:ascii="宋体"/>
                <w:szCs w:val="21"/>
              </w:rPr>
            </w:pPr>
            <w:r>
              <w:rPr>
                <w:rFonts w:hint="eastAsia" w:ascii="宋体" w:hAnsi="宋体"/>
                <w:szCs w:val="21"/>
              </w:rPr>
              <w:t>2.2.2</w:t>
            </w:r>
          </w:p>
        </w:tc>
        <w:tc>
          <w:tcPr>
            <w:tcW w:w="2342" w:type="dxa"/>
            <w:gridSpan w:val="2"/>
            <w:vAlign w:val="center"/>
          </w:tcPr>
          <w:p>
            <w:pPr>
              <w:spacing w:line="360" w:lineRule="auto"/>
              <w:rPr>
                <w:rFonts w:ascii="宋体"/>
                <w:szCs w:val="21"/>
              </w:rPr>
            </w:pPr>
            <w:r>
              <w:rPr>
                <w:rFonts w:hint="eastAsia" w:ascii="宋体" w:hAnsi="宋体"/>
                <w:szCs w:val="21"/>
              </w:rPr>
              <w:t>评标基准价计算方法</w:t>
            </w:r>
          </w:p>
        </w:tc>
        <w:tc>
          <w:tcPr>
            <w:tcW w:w="4390" w:type="dxa"/>
            <w:vAlign w:val="center"/>
          </w:tcPr>
          <w:p>
            <w:pPr>
              <w:ind w:firstLine="420" w:firstLineChars="200"/>
            </w:pPr>
            <w:r>
              <w:rPr>
                <w:rFonts w:hint="eastAsia" w:ascii="宋体" w:hAnsi="宋体"/>
                <w:kern w:val="0"/>
                <w:szCs w:val="21"/>
              </w:rPr>
              <w:t>所有投标人有效报价的算术平均值为评标基准价，若有效报价的投标人超过5家，则去掉一个最高价和一个最低价后的算术平均值为评标基准价。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2193" w:type="dxa"/>
            <w:gridSpan w:val="2"/>
            <w:vAlign w:val="center"/>
          </w:tcPr>
          <w:p>
            <w:pPr>
              <w:jc w:val="center"/>
              <w:rPr>
                <w:rFonts w:ascii="宋体"/>
                <w:szCs w:val="21"/>
              </w:rPr>
            </w:pPr>
            <w:r>
              <w:rPr>
                <w:rFonts w:hint="eastAsia" w:ascii="宋体" w:hAnsi="宋体"/>
                <w:szCs w:val="21"/>
              </w:rPr>
              <w:t>2.2.3</w:t>
            </w:r>
          </w:p>
        </w:tc>
        <w:tc>
          <w:tcPr>
            <w:tcW w:w="2342" w:type="dxa"/>
            <w:gridSpan w:val="2"/>
            <w:vAlign w:val="center"/>
          </w:tcPr>
          <w:p>
            <w:pPr>
              <w:spacing w:line="400" w:lineRule="exact"/>
              <w:jc w:val="center"/>
              <w:rPr>
                <w:rFonts w:ascii="宋体"/>
                <w:szCs w:val="21"/>
              </w:rPr>
            </w:pPr>
            <w:r>
              <w:rPr>
                <w:rFonts w:hint="eastAsia" w:ascii="宋体" w:hAnsi="宋体"/>
                <w:szCs w:val="21"/>
              </w:rPr>
              <w:t>投标报价的偏差率</w:t>
            </w:r>
          </w:p>
          <w:p>
            <w:pPr>
              <w:spacing w:line="400" w:lineRule="exact"/>
              <w:jc w:val="center"/>
              <w:rPr>
                <w:rFonts w:ascii="宋体"/>
                <w:szCs w:val="21"/>
              </w:rPr>
            </w:pPr>
            <w:r>
              <w:rPr>
                <w:rFonts w:hint="eastAsia" w:ascii="宋体" w:hAnsi="宋体"/>
                <w:szCs w:val="21"/>
              </w:rPr>
              <w:t>计算公式</w:t>
            </w:r>
          </w:p>
        </w:tc>
        <w:tc>
          <w:tcPr>
            <w:tcW w:w="4390" w:type="dxa"/>
            <w:vAlign w:val="center"/>
          </w:tcPr>
          <w:p>
            <w:r>
              <w:rPr>
                <w:rFonts w:hint="eastAsia" w:ascii="宋体" w:hAnsi="宋体"/>
                <w:szCs w:val="21"/>
              </w:rPr>
              <w:t>偏差率=100%×（投标人报价－评标基准价）/评标基准价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193" w:type="dxa"/>
            <w:gridSpan w:val="2"/>
            <w:vAlign w:val="center"/>
          </w:tcPr>
          <w:p>
            <w:pPr>
              <w:jc w:val="center"/>
              <w:rPr>
                <w:rFonts w:ascii="宋体"/>
                <w:szCs w:val="21"/>
              </w:rPr>
            </w:pPr>
            <w:r>
              <w:rPr>
                <w:rFonts w:hint="eastAsia" w:ascii="宋体" w:hAnsi="宋体"/>
                <w:szCs w:val="21"/>
              </w:rPr>
              <w:t>条款号</w:t>
            </w:r>
          </w:p>
        </w:tc>
        <w:tc>
          <w:tcPr>
            <w:tcW w:w="2342" w:type="dxa"/>
            <w:gridSpan w:val="2"/>
            <w:vAlign w:val="center"/>
          </w:tcPr>
          <w:p>
            <w:pPr>
              <w:jc w:val="center"/>
              <w:rPr>
                <w:rFonts w:ascii="宋体"/>
                <w:szCs w:val="21"/>
              </w:rPr>
            </w:pPr>
            <w:r>
              <w:rPr>
                <w:rFonts w:hint="eastAsia" w:ascii="宋体" w:hAnsi="宋体"/>
                <w:szCs w:val="21"/>
              </w:rPr>
              <w:t>评分因素</w:t>
            </w:r>
          </w:p>
        </w:tc>
        <w:tc>
          <w:tcPr>
            <w:tcW w:w="4390" w:type="dxa"/>
            <w:vAlign w:val="center"/>
          </w:tcPr>
          <w:p>
            <w:pPr>
              <w:jc w:val="center"/>
              <w:rPr>
                <w:rFonts w:ascii="宋体"/>
                <w:szCs w:val="21"/>
              </w:rPr>
            </w:pPr>
            <w:r>
              <w:rPr>
                <w:rFonts w:hint="eastAsia" w:ascii="宋体" w:hAnsi="宋体"/>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0" w:type="dxa"/>
            <w:vMerge w:val="restart"/>
            <w:vAlign w:val="center"/>
          </w:tcPr>
          <w:p>
            <w:pPr>
              <w:jc w:val="center"/>
              <w:rPr>
                <w:rFonts w:ascii="宋体"/>
                <w:szCs w:val="21"/>
              </w:rPr>
            </w:pPr>
            <w:r>
              <w:rPr>
                <w:rFonts w:hint="eastAsia" w:ascii="宋体" w:hAnsi="宋体"/>
                <w:szCs w:val="21"/>
              </w:rPr>
              <w:t>2.2.4（1）</w:t>
            </w:r>
          </w:p>
          <w:p>
            <w:pPr>
              <w:jc w:val="center"/>
              <w:rPr>
                <w:rFonts w:ascii="宋体" w:hAnsi="宋体"/>
                <w:szCs w:val="21"/>
              </w:rPr>
            </w:pPr>
          </w:p>
          <w:p>
            <w:pPr>
              <w:jc w:val="center"/>
              <w:rPr>
                <w:rFonts w:ascii="宋体"/>
                <w:szCs w:val="21"/>
              </w:rPr>
            </w:pPr>
          </w:p>
        </w:tc>
        <w:tc>
          <w:tcPr>
            <w:tcW w:w="1443" w:type="dxa"/>
            <w:vMerge w:val="restart"/>
            <w:vAlign w:val="center"/>
          </w:tcPr>
          <w:p>
            <w:pPr>
              <w:tabs>
                <w:tab w:val="center" w:pos="4153"/>
                <w:tab w:val="right" w:pos="8306"/>
              </w:tabs>
              <w:snapToGrid w:val="0"/>
              <w:jc w:val="center"/>
              <w:rPr>
                <w:rFonts w:ascii="宋体"/>
                <w:sz w:val="18"/>
                <w:szCs w:val="21"/>
              </w:rPr>
            </w:pPr>
            <w:r>
              <w:rPr>
                <w:rFonts w:hint="eastAsia"/>
              </w:rPr>
              <w:t>代建方案           （满分40分）</w:t>
            </w:r>
          </w:p>
        </w:tc>
        <w:tc>
          <w:tcPr>
            <w:tcW w:w="2342" w:type="dxa"/>
            <w:gridSpan w:val="2"/>
            <w:vAlign w:val="center"/>
          </w:tcPr>
          <w:p>
            <w:pPr>
              <w:rPr>
                <w:rFonts w:hAnsi="宋体"/>
                <w:szCs w:val="21"/>
              </w:rPr>
            </w:pPr>
            <w:r>
              <w:rPr>
                <w:rFonts w:hint="eastAsia" w:hAnsi="宋体"/>
                <w:szCs w:val="21"/>
              </w:rPr>
              <w:t>项目前期管理（报建、设计及招投标管理等）（10分）</w:t>
            </w:r>
          </w:p>
        </w:tc>
        <w:tc>
          <w:tcPr>
            <w:tcW w:w="4390" w:type="dxa"/>
            <w:vAlign w:val="center"/>
          </w:tcPr>
          <w:p>
            <w:pPr>
              <w:rPr>
                <w:rFonts w:hAnsi="宋体"/>
                <w:szCs w:val="21"/>
              </w:rPr>
            </w:pPr>
            <w:r>
              <w:rPr>
                <w:rFonts w:hint="eastAsia" w:hAnsi="宋体"/>
                <w:szCs w:val="21"/>
              </w:rPr>
              <w:t>代建前期工作思路清晰，程序管理合理、措施有效。（10~7.1分）；</w:t>
            </w:r>
          </w:p>
          <w:p>
            <w:pPr>
              <w:rPr>
                <w:rFonts w:hAnsi="宋体"/>
                <w:szCs w:val="21"/>
              </w:rPr>
            </w:pPr>
            <w:r>
              <w:rPr>
                <w:rFonts w:hint="eastAsia" w:hAnsi="宋体"/>
                <w:szCs w:val="21"/>
              </w:rPr>
              <w:t>代建前期工作思路较清晰，程序管理欠合理、措施基本有效。（7~3.1分）；</w:t>
            </w:r>
          </w:p>
          <w:p>
            <w:pPr>
              <w:rPr>
                <w:rFonts w:hAnsi="宋体"/>
                <w:szCs w:val="21"/>
              </w:rPr>
            </w:pPr>
            <w:r>
              <w:rPr>
                <w:rFonts w:hint="eastAsia" w:hAnsi="宋体"/>
                <w:szCs w:val="21"/>
              </w:rPr>
              <w:t>代建前期工作思路欠清晰，程序管理欠合理、措施欠有效。（3~0分）。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0" w:type="dxa"/>
            <w:vMerge w:val="continue"/>
            <w:vAlign w:val="center"/>
          </w:tcPr>
          <w:p>
            <w:pPr>
              <w:jc w:val="center"/>
              <w:rPr>
                <w:rFonts w:ascii="宋体" w:hAnsi="宋体"/>
                <w:szCs w:val="21"/>
              </w:rPr>
            </w:pPr>
          </w:p>
        </w:tc>
        <w:tc>
          <w:tcPr>
            <w:tcW w:w="1443" w:type="dxa"/>
            <w:vMerge w:val="continue"/>
            <w:vAlign w:val="center"/>
          </w:tcPr>
          <w:p>
            <w:pPr>
              <w:tabs>
                <w:tab w:val="center" w:pos="4153"/>
                <w:tab w:val="right" w:pos="8306"/>
              </w:tabs>
              <w:snapToGrid w:val="0"/>
              <w:jc w:val="center"/>
            </w:pPr>
          </w:p>
        </w:tc>
        <w:tc>
          <w:tcPr>
            <w:tcW w:w="2342" w:type="dxa"/>
            <w:gridSpan w:val="2"/>
            <w:vAlign w:val="center"/>
          </w:tcPr>
          <w:p>
            <w:pPr>
              <w:rPr>
                <w:rFonts w:hAnsi="宋体"/>
                <w:szCs w:val="21"/>
              </w:rPr>
            </w:pPr>
            <w:r>
              <w:rPr>
                <w:rFonts w:hint="eastAsia" w:hAnsi="宋体"/>
                <w:szCs w:val="21"/>
              </w:rPr>
              <w:t>投资管理（5分）</w:t>
            </w:r>
          </w:p>
        </w:tc>
        <w:tc>
          <w:tcPr>
            <w:tcW w:w="4390" w:type="dxa"/>
            <w:vAlign w:val="center"/>
          </w:tcPr>
          <w:p>
            <w:pPr>
              <w:rPr>
                <w:rFonts w:hAnsi="宋体"/>
                <w:szCs w:val="21"/>
              </w:rPr>
            </w:pPr>
            <w:r>
              <w:rPr>
                <w:rFonts w:hint="eastAsia" w:hAnsi="宋体"/>
                <w:szCs w:val="21"/>
              </w:rPr>
              <w:t>代建工作的各个环节的投资管理措施有效合理，控制办法先进。（5~3.1分）；</w:t>
            </w:r>
          </w:p>
          <w:p>
            <w:pPr>
              <w:rPr>
                <w:rFonts w:hAnsi="宋体"/>
                <w:szCs w:val="21"/>
              </w:rPr>
            </w:pPr>
            <w:r>
              <w:rPr>
                <w:rFonts w:hint="eastAsia" w:hAnsi="宋体"/>
                <w:szCs w:val="21"/>
              </w:rPr>
              <w:t>代建工作的各个环节的投资管理措施，控制办法基本合理。（3~1.1分）；</w:t>
            </w:r>
          </w:p>
          <w:p>
            <w:pPr>
              <w:rPr>
                <w:rFonts w:hAnsi="宋体"/>
                <w:szCs w:val="21"/>
              </w:rPr>
            </w:pPr>
            <w:r>
              <w:rPr>
                <w:rFonts w:hint="eastAsia" w:hAnsi="宋体"/>
                <w:szCs w:val="21"/>
              </w:rPr>
              <w:t>代建工作的各个环节的投资管理措施，办法不合理。（1~0分）。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0" w:type="dxa"/>
            <w:vMerge w:val="continue"/>
            <w:vAlign w:val="center"/>
          </w:tcPr>
          <w:p>
            <w:pPr>
              <w:jc w:val="center"/>
              <w:rPr>
                <w:rFonts w:ascii="宋体" w:hAnsi="宋体"/>
                <w:szCs w:val="21"/>
              </w:rPr>
            </w:pPr>
          </w:p>
        </w:tc>
        <w:tc>
          <w:tcPr>
            <w:tcW w:w="1443" w:type="dxa"/>
            <w:vMerge w:val="continue"/>
            <w:vAlign w:val="center"/>
          </w:tcPr>
          <w:p>
            <w:pPr>
              <w:tabs>
                <w:tab w:val="center" w:pos="4153"/>
                <w:tab w:val="right" w:pos="8306"/>
              </w:tabs>
              <w:snapToGrid w:val="0"/>
              <w:jc w:val="center"/>
            </w:pPr>
          </w:p>
        </w:tc>
        <w:tc>
          <w:tcPr>
            <w:tcW w:w="2342" w:type="dxa"/>
            <w:gridSpan w:val="2"/>
            <w:vAlign w:val="center"/>
          </w:tcPr>
          <w:p>
            <w:pPr>
              <w:rPr>
                <w:rFonts w:hAnsi="宋体"/>
                <w:szCs w:val="21"/>
              </w:rPr>
            </w:pPr>
            <w:r>
              <w:rPr>
                <w:rFonts w:hint="eastAsia" w:hAnsi="宋体"/>
                <w:szCs w:val="21"/>
              </w:rPr>
              <w:t>质量、安全管理（10分）</w:t>
            </w:r>
          </w:p>
        </w:tc>
        <w:tc>
          <w:tcPr>
            <w:tcW w:w="4390" w:type="dxa"/>
            <w:vAlign w:val="center"/>
          </w:tcPr>
          <w:p>
            <w:pPr>
              <w:rPr>
                <w:rFonts w:hAnsi="宋体"/>
                <w:szCs w:val="21"/>
              </w:rPr>
            </w:pPr>
            <w:r>
              <w:rPr>
                <w:rFonts w:hint="eastAsia" w:hAnsi="宋体"/>
                <w:szCs w:val="21"/>
              </w:rPr>
              <w:t>代建工作的各个环节的质量、安全管理措施有效先进合理。（10~7.1分）；</w:t>
            </w:r>
          </w:p>
          <w:p>
            <w:pPr>
              <w:rPr>
                <w:rFonts w:hAnsi="宋体"/>
                <w:szCs w:val="21"/>
              </w:rPr>
            </w:pPr>
            <w:r>
              <w:rPr>
                <w:rFonts w:hint="eastAsia" w:hAnsi="宋体"/>
                <w:szCs w:val="21"/>
              </w:rPr>
              <w:t>代建工作的各个环节的质量、安全管理措施有效欠合理。（7~3.1分）；</w:t>
            </w:r>
          </w:p>
          <w:p>
            <w:pPr>
              <w:rPr>
                <w:rFonts w:hAnsi="宋体"/>
                <w:szCs w:val="21"/>
              </w:rPr>
            </w:pPr>
            <w:r>
              <w:rPr>
                <w:rFonts w:hint="eastAsia" w:hAnsi="宋体"/>
                <w:szCs w:val="21"/>
              </w:rPr>
              <w:t>代建工作的各个环节的质量、安全管理措施不合理。（3~0分）。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0" w:type="dxa"/>
            <w:vMerge w:val="continue"/>
            <w:vAlign w:val="center"/>
          </w:tcPr>
          <w:p>
            <w:pPr>
              <w:jc w:val="center"/>
              <w:rPr>
                <w:rFonts w:ascii="宋体" w:hAnsi="宋体"/>
                <w:szCs w:val="21"/>
              </w:rPr>
            </w:pPr>
          </w:p>
        </w:tc>
        <w:tc>
          <w:tcPr>
            <w:tcW w:w="1443" w:type="dxa"/>
            <w:vMerge w:val="continue"/>
            <w:vAlign w:val="center"/>
          </w:tcPr>
          <w:p>
            <w:pPr>
              <w:tabs>
                <w:tab w:val="center" w:pos="4153"/>
                <w:tab w:val="right" w:pos="8306"/>
              </w:tabs>
              <w:snapToGrid w:val="0"/>
              <w:jc w:val="center"/>
            </w:pPr>
          </w:p>
        </w:tc>
        <w:tc>
          <w:tcPr>
            <w:tcW w:w="2342" w:type="dxa"/>
            <w:gridSpan w:val="2"/>
            <w:vAlign w:val="center"/>
          </w:tcPr>
          <w:p>
            <w:pPr>
              <w:rPr>
                <w:rFonts w:hAnsi="宋体"/>
                <w:szCs w:val="21"/>
              </w:rPr>
            </w:pPr>
            <w:r>
              <w:rPr>
                <w:rFonts w:hint="eastAsia" w:hAnsi="宋体"/>
                <w:szCs w:val="21"/>
              </w:rPr>
              <w:t>建设工期管理（5分）</w:t>
            </w:r>
          </w:p>
        </w:tc>
        <w:tc>
          <w:tcPr>
            <w:tcW w:w="4390" w:type="dxa"/>
            <w:vAlign w:val="center"/>
          </w:tcPr>
          <w:p>
            <w:pPr>
              <w:rPr>
                <w:rFonts w:hAnsi="宋体"/>
                <w:szCs w:val="21"/>
              </w:rPr>
            </w:pPr>
            <w:r>
              <w:rPr>
                <w:rFonts w:hint="eastAsia" w:hAnsi="宋体"/>
                <w:szCs w:val="21"/>
              </w:rPr>
              <w:t>确保工程建设工期的措施先进，及相关的应变措施有效。（5~3.1分）；</w:t>
            </w:r>
          </w:p>
          <w:p>
            <w:pPr>
              <w:rPr>
                <w:rFonts w:hAnsi="宋体"/>
                <w:szCs w:val="21"/>
              </w:rPr>
            </w:pPr>
            <w:r>
              <w:rPr>
                <w:rFonts w:hint="eastAsia" w:hAnsi="宋体"/>
                <w:szCs w:val="21"/>
              </w:rPr>
              <w:t>确保工程建设工期的措施先进，及相关的应变措施基本合理。（3~1.1分）；</w:t>
            </w:r>
          </w:p>
          <w:p>
            <w:pPr>
              <w:rPr>
                <w:rFonts w:hAnsi="宋体"/>
                <w:szCs w:val="21"/>
              </w:rPr>
            </w:pPr>
            <w:r>
              <w:rPr>
                <w:rFonts w:hint="eastAsia" w:hAnsi="宋体"/>
                <w:szCs w:val="21"/>
              </w:rPr>
              <w:t>确保工程建设工期的措施先进，及相关的应变措施不合理。（1~0分）。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0" w:type="dxa"/>
            <w:vMerge w:val="continue"/>
            <w:vAlign w:val="center"/>
          </w:tcPr>
          <w:p>
            <w:pPr>
              <w:jc w:val="center"/>
              <w:rPr>
                <w:rFonts w:ascii="宋体" w:hAnsi="宋体"/>
                <w:szCs w:val="21"/>
              </w:rPr>
            </w:pPr>
          </w:p>
        </w:tc>
        <w:tc>
          <w:tcPr>
            <w:tcW w:w="1443" w:type="dxa"/>
            <w:vMerge w:val="continue"/>
            <w:vAlign w:val="center"/>
          </w:tcPr>
          <w:p>
            <w:pPr>
              <w:tabs>
                <w:tab w:val="center" w:pos="4153"/>
                <w:tab w:val="right" w:pos="8306"/>
              </w:tabs>
              <w:snapToGrid w:val="0"/>
              <w:jc w:val="center"/>
            </w:pPr>
          </w:p>
        </w:tc>
        <w:tc>
          <w:tcPr>
            <w:tcW w:w="2342" w:type="dxa"/>
            <w:gridSpan w:val="2"/>
            <w:vAlign w:val="center"/>
          </w:tcPr>
          <w:p>
            <w:pPr>
              <w:rPr>
                <w:rFonts w:hAnsi="宋体"/>
                <w:szCs w:val="21"/>
              </w:rPr>
            </w:pPr>
            <w:r>
              <w:rPr>
                <w:rFonts w:hint="eastAsia" w:hAnsi="宋体"/>
                <w:szCs w:val="21"/>
              </w:rPr>
              <w:t>合同管理（5分）</w:t>
            </w:r>
          </w:p>
        </w:tc>
        <w:tc>
          <w:tcPr>
            <w:tcW w:w="4390" w:type="dxa"/>
            <w:vAlign w:val="center"/>
          </w:tcPr>
          <w:p>
            <w:pPr>
              <w:rPr>
                <w:rFonts w:hAnsi="宋体"/>
                <w:szCs w:val="21"/>
              </w:rPr>
            </w:pPr>
            <w:r>
              <w:rPr>
                <w:rFonts w:hint="eastAsia" w:hAnsi="宋体"/>
                <w:szCs w:val="21"/>
              </w:rPr>
              <w:t>确保工程建设的合同管理措施合理、方法合理可行、措施具体、针对性强。（5~3.1分）；</w:t>
            </w:r>
          </w:p>
          <w:p>
            <w:pPr>
              <w:rPr>
                <w:rFonts w:hAnsi="宋体"/>
                <w:szCs w:val="21"/>
              </w:rPr>
            </w:pPr>
            <w:r>
              <w:rPr>
                <w:rFonts w:hint="eastAsia" w:hAnsi="宋体"/>
                <w:szCs w:val="21"/>
              </w:rPr>
              <w:t>确保工程建设的合同管理措施基本明确、方法较合理、措施不具体、针对性不强。（3~1.1分）；</w:t>
            </w:r>
          </w:p>
          <w:p>
            <w:pPr>
              <w:rPr>
                <w:rFonts w:hAnsi="宋体"/>
                <w:szCs w:val="21"/>
              </w:rPr>
            </w:pPr>
            <w:r>
              <w:rPr>
                <w:rFonts w:hint="eastAsia" w:hAnsi="宋体"/>
                <w:szCs w:val="21"/>
              </w:rPr>
              <w:t>确保工程建设的合同管理措施基本明确、方法不合理、措施不具体、针对性差。（1~0分）。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0" w:type="dxa"/>
            <w:vMerge w:val="continue"/>
            <w:vAlign w:val="center"/>
          </w:tcPr>
          <w:p>
            <w:pPr>
              <w:jc w:val="center"/>
              <w:rPr>
                <w:rFonts w:ascii="宋体" w:hAnsi="宋体"/>
                <w:szCs w:val="21"/>
              </w:rPr>
            </w:pPr>
          </w:p>
        </w:tc>
        <w:tc>
          <w:tcPr>
            <w:tcW w:w="1443" w:type="dxa"/>
            <w:vMerge w:val="continue"/>
            <w:vAlign w:val="center"/>
          </w:tcPr>
          <w:p>
            <w:pPr>
              <w:tabs>
                <w:tab w:val="center" w:pos="4153"/>
                <w:tab w:val="right" w:pos="8306"/>
              </w:tabs>
              <w:snapToGrid w:val="0"/>
              <w:jc w:val="center"/>
            </w:pPr>
          </w:p>
        </w:tc>
        <w:tc>
          <w:tcPr>
            <w:tcW w:w="2342" w:type="dxa"/>
            <w:gridSpan w:val="2"/>
            <w:vAlign w:val="center"/>
          </w:tcPr>
          <w:p>
            <w:pPr>
              <w:rPr>
                <w:rFonts w:hAnsi="宋体"/>
                <w:szCs w:val="21"/>
              </w:rPr>
            </w:pPr>
            <w:r>
              <w:rPr>
                <w:rFonts w:hint="eastAsia" w:hAnsi="宋体"/>
                <w:szCs w:val="21"/>
              </w:rPr>
              <w:t>沟通协调（5分）</w:t>
            </w:r>
          </w:p>
        </w:tc>
        <w:tc>
          <w:tcPr>
            <w:tcW w:w="4390" w:type="dxa"/>
            <w:vAlign w:val="center"/>
          </w:tcPr>
          <w:p>
            <w:pPr>
              <w:rPr>
                <w:rFonts w:hAnsi="宋体"/>
                <w:szCs w:val="21"/>
              </w:rPr>
            </w:pPr>
            <w:r>
              <w:rPr>
                <w:rFonts w:hint="eastAsia" w:hAnsi="宋体"/>
                <w:szCs w:val="21"/>
              </w:rPr>
              <w:t>确保工程建设采取的沟通协调管理措施有力、高效。（5~3.1分）；</w:t>
            </w:r>
          </w:p>
          <w:p>
            <w:pPr>
              <w:rPr>
                <w:rFonts w:hAnsi="宋体"/>
                <w:szCs w:val="21"/>
              </w:rPr>
            </w:pPr>
            <w:r>
              <w:rPr>
                <w:rFonts w:hint="eastAsia" w:hAnsi="宋体"/>
                <w:szCs w:val="21"/>
              </w:rPr>
              <w:t>确保工程建设采取的沟通协调管理措施一般。（3~1.1分）；</w:t>
            </w:r>
          </w:p>
          <w:p>
            <w:pPr>
              <w:rPr>
                <w:rFonts w:hAnsi="宋体"/>
                <w:szCs w:val="21"/>
              </w:rPr>
            </w:pPr>
            <w:r>
              <w:rPr>
                <w:rFonts w:hint="eastAsia" w:hAnsi="宋体"/>
                <w:szCs w:val="21"/>
              </w:rPr>
              <w:t>确保工程建设采取的沟通协调管理措施不合理。（1~0分）。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9" w:hRule="atLeast"/>
          <w:jc w:val="center"/>
        </w:trPr>
        <w:tc>
          <w:tcPr>
            <w:tcW w:w="750" w:type="dxa"/>
            <w:vAlign w:val="center"/>
          </w:tcPr>
          <w:p>
            <w:pPr>
              <w:jc w:val="center"/>
              <w:rPr>
                <w:rFonts w:ascii="宋体"/>
                <w:szCs w:val="21"/>
              </w:rPr>
            </w:pPr>
            <w:r>
              <w:rPr>
                <w:rFonts w:hint="eastAsia" w:ascii="宋体" w:hAnsi="宋体"/>
                <w:szCs w:val="21"/>
              </w:rPr>
              <w:t>2.2.4（2）</w:t>
            </w:r>
          </w:p>
        </w:tc>
        <w:tc>
          <w:tcPr>
            <w:tcW w:w="1443" w:type="dxa"/>
            <w:vAlign w:val="center"/>
          </w:tcPr>
          <w:p>
            <w:pPr>
              <w:tabs>
                <w:tab w:val="left" w:pos="540"/>
              </w:tabs>
              <w:spacing w:line="360" w:lineRule="exact"/>
              <w:jc w:val="center"/>
              <w:rPr>
                <w:rFonts w:ascii="宋体" w:hAnsi="宋体"/>
                <w:szCs w:val="21"/>
              </w:rPr>
            </w:pPr>
            <w:r>
              <w:rPr>
                <w:rFonts w:hint="eastAsia" w:ascii="宋体" w:hAnsi="宋体"/>
                <w:szCs w:val="21"/>
              </w:rPr>
              <w:t>投标报价</w:t>
            </w:r>
          </w:p>
          <w:p>
            <w:pPr>
              <w:tabs>
                <w:tab w:val="left" w:pos="540"/>
              </w:tabs>
              <w:spacing w:line="360" w:lineRule="exact"/>
              <w:jc w:val="center"/>
              <w:rPr>
                <w:rFonts w:ascii="宋体"/>
                <w:szCs w:val="21"/>
              </w:rPr>
            </w:pPr>
            <w:r>
              <w:rPr>
                <w:rFonts w:hint="eastAsia" w:ascii="宋体" w:hAnsi="宋体"/>
                <w:szCs w:val="21"/>
              </w:rPr>
              <w:t>评分标准</w:t>
            </w:r>
          </w:p>
          <w:p>
            <w:pPr>
              <w:tabs>
                <w:tab w:val="left" w:pos="540"/>
              </w:tabs>
              <w:spacing w:line="360" w:lineRule="exact"/>
              <w:jc w:val="center"/>
              <w:rPr>
                <w:rFonts w:ascii="宋体"/>
                <w:szCs w:val="21"/>
              </w:rPr>
            </w:pPr>
            <w:r>
              <w:rPr>
                <w:rFonts w:hint="eastAsia" w:ascii="宋体" w:hAnsi="宋体"/>
                <w:szCs w:val="21"/>
              </w:rPr>
              <w:t>（30分）</w:t>
            </w:r>
          </w:p>
        </w:tc>
        <w:tc>
          <w:tcPr>
            <w:tcW w:w="1907" w:type="dxa"/>
            <w:vAlign w:val="center"/>
          </w:tcPr>
          <w:p>
            <w:pPr>
              <w:tabs>
                <w:tab w:val="left" w:pos="540"/>
              </w:tabs>
              <w:spacing w:line="360" w:lineRule="exact"/>
              <w:jc w:val="center"/>
              <w:rPr>
                <w:rFonts w:ascii="宋体"/>
                <w:szCs w:val="21"/>
              </w:rPr>
            </w:pPr>
            <w:r>
              <w:rPr>
                <w:rFonts w:hint="eastAsia" w:ascii="宋体" w:hAnsi="宋体"/>
                <w:szCs w:val="21"/>
              </w:rPr>
              <w:t>投标报价</w:t>
            </w:r>
          </w:p>
        </w:tc>
        <w:tc>
          <w:tcPr>
            <w:tcW w:w="4825" w:type="dxa"/>
            <w:gridSpan w:val="2"/>
            <w:vAlign w:val="center"/>
          </w:tcPr>
          <w:p>
            <w:r>
              <w:rPr>
                <w:rFonts w:hint="eastAsia"/>
              </w:rPr>
              <w:t>评标价得分计算公式示例：</w:t>
            </w:r>
          </w:p>
          <w:p>
            <w:r>
              <w:rPr>
                <w:rFonts w:hint="eastAsia"/>
              </w:rPr>
              <w:t>（1）如果投标人的评标价＞评标基准价，则评标价得分=F-偏差率×100×E1；</w:t>
            </w:r>
          </w:p>
          <w:p>
            <w:r>
              <w:rPr>
                <w:rFonts w:hint="eastAsia"/>
              </w:rPr>
              <w:t>（2）如果投标人的评标价≤评标基准价，则评标价得分=F+偏差率×100×E2；</w:t>
            </w:r>
          </w:p>
          <w:p>
            <w:r>
              <w:rPr>
                <w:rFonts w:hint="eastAsia"/>
              </w:rPr>
              <w:t>其中：</w:t>
            </w:r>
          </w:p>
          <w:p>
            <w:r>
              <w:rPr>
                <w:rFonts w:hint="eastAsia"/>
              </w:rPr>
              <w:t>F 为投标报价满分值；</w:t>
            </w:r>
          </w:p>
          <w:p>
            <w:r>
              <w:rPr>
                <w:rFonts w:hint="eastAsia"/>
              </w:rPr>
              <w:t>E1 是评标价每高于评标基准价1 个百分点的扣分值0.2；</w:t>
            </w:r>
          </w:p>
          <w:p>
            <w:r>
              <w:rPr>
                <w:rFonts w:hint="eastAsia"/>
              </w:rPr>
              <w:t>E2 是评标价每低于评标基准价1 个百分点的扣分值0.1。</w:t>
            </w:r>
          </w:p>
          <w:p>
            <w:pPr>
              <w:rPr>
                <w:rFonts w:ascii="宋体"/>
                <w:szCs w:val="21"/>
              </w:rPr>
            </w:pPr>
            <w:r>
              <w:rPr>
                <w:rFonts w:hint="eastAsia"/>
              </w:rPr>
              <w:t>招标人可依据招标项目具体特点和实际需要设置E1、E2。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0" w:hRule="atLeast"/>
          <w:jc w:val="center"/>
        </w:trPr>
        <w:tc>
          <w:tcPr>
            <w:tcW w:w="750" w:type="dxa"/>
            <w:vAlign w:val="center"/>
          </w:tcPr>
          <w:p>
            <w:pPr>
              <w:widowControl/>
              <w:jc w:val="left"/>
              <w:rPr>
                <w:rFonts w:ascii="宋体"/>
                <w:szCs w:val="21"/>
              </w:rPr>
            </w:pPr>
            <w:r>
              <w:rPr>
                <w:rFonts w:hint="eastAsia" w:ascii="宋体" w:hAnsi="宋体"/>
                <w:szCs w:val="21"/>
              </w:rPr>
              <w:t>2.2.4（3）</w:t>
            </w:r>
          </w:p>
        </w:tc>
        <w:tc>
          <w:tcPr>
            <w:tcW w:w="1443" w:type="dxa"/>
            <w:vAlign w:val="center"/>
          </w:tcPr>
          <w:p>
            <w:pPr>
              <w:tabs>
                <w:tab w:val="left" w:pos="540"/>
              </w:tabs>
              <w:spacing w:line="360" w:lineRule="exact"/>
              <w:jc w:val="center"/>
              <w:rPr>
                <w:rFonts w:ascii="宋体" w:hAnsi="宋体"/>
                <w:szCs w:val="21"/>
              </w:rPr>
            </w:pPr>
            <w:r>
              <w:rPr>
                <w:rFonts w:hint="eastAsia" w:ascii="宋体" w:hAnsi="宋体"/>
                <w:szCs w:val="21"/>
              </w:rPr>
              <w:t>其他因素</w:t>
            </w:r>
          </w:p>
          <w:p>
            <w:pPr>
              <w:tabs>
                <w:tab w:val="left" w:pos="540"/>
              </w:tabs>
              <w:spacing w:line="360" w:lineRule="exact"/>
              <w:jc w:val="center"/>
              <w:rPr>
                <w:rFonts w:ascii="宋体"/>
                <w:szCs w:val="21"/>
              </w:rPr>
            </w:pPr>
            <w:r>
              <w:rPr>
                <w:rFonts w:hint="eastAsia" w:ascii="宋体" w:hAnsi="宋体"/>
                <w:szCs w:val="21"/>
              </w:rPr>
              <w:t>评分标准</w:t>
            </w:r>
          </w:p>
          <w:p>
            <w:pPr>
              <w:widowControl/>
              <w:ind w:firstLine="210" w:firstLineChars="100"/>
              <w:jc w:val="left"/>
              <w:rPr>
                <w:rFonts w:ascii="宋体"/>
                <w:szCs w:val="21"/>
              </w:rPr>
            </w:pPr>
            <w:r>
              <w:rPr>
                <w:rFonts w:hint="eastAsia" w:ascii="宋体" w:hAnsi="宋体"/>
                <w:szCs w:val="21"/>
              </w:rPr>
              <w:t>（</w:t>
            </w:r>
            <w:r>
              <w:rPr>
                <w:rFonts w:ascii="宋体" w:hAnsi="宋体"/>
                <w:szCs w:val="21"/>
              </w:rPr>
              <w:t>20</w:t>
            </w:r>
            <w:r>
              <w:rPr>
                <w:rFonts w:hint="eastAsia" w:ascii="宋体" w:hAnsi="宋体"/>
                <w:szCs w:val="21"/>
              </w:rPr>
              <w:t>分）</w:t>
            </w:r>
          </w:p>
        </w:tc>
        <w:tc>
          <w:tcPr>
            <w:tcW w:w="1907" w:type="dxa"/>
            <w:vAlign w:val="center"/>
          </w:tcPr>
          <w:p>
            <w:pPr>
              <w:spacing w:line="360" w:lineRule="exact"/>
              <w:jc w:val="center"/>
              <w:rPr>
                <w:rFonts w:ascii="宋体"/>
                <w:szCs w:val="21"/>
              </w:rPr>
            </w:pPr>
          </w:p>
          <w:p>
            <w:pPr>
              <w:autoSpaceDE w:val="0"/>
              <w:autoSpaceDN w:val="0"/>
              <w:adjustRightInd w:val="0"/>
              <w:snapToGrid w:val="0"/>
              <w:spacing w:line="280" w:lineRule="exact"/>
              <w:jc w:val="center"/>
              <w:rPr>
                <w:rFonts w:ascii="宋体"/>
                <w:szCs w:val="21"/>
              </w:rPr>
            </w:pPr>
            <w:r>
              <w:rPr>
                <w:rFonts w:hint="eastAsia" w:ascii="宋体"/>
                <w:szCs w:val="21"/>
              </w:rPr>
              <w:t>企业业绩（</w:t>
            </w:r>
            <w:r>
              <w:rPr>
                <w:rFonts w:ascii="宋体"/>
                <w:szCs w:val="21"/>
              </w:rPr>
              <w:t>20</w:t>
            </w:r>
            <w:r>
              <w:rPr>
                <w:rFonts w:hint="eastAsia" w:ascii="宋体"/>
                <w:szCs w:val="21"/>
              </w:rPr>
              <w:t>分）</w:t>
            </w:r>
          </w:p>
        </w:tc>
        <w:tc>
          <w:tcPr>
            <w:tcW w:w="4825" w:type="dxa"/>
            <w:gridSpan w:val="2"/>
            <w:vAlign w:val="center"/>
          </w:tcPr>
          <w:p>
            <w:r>
              <w:t>1</w:t>
            </w:r>
            <w:r>
              <w:rPr>
                <w:rFonts w:hint="eastAsia"/>
              </w:rPr>
              <w:t>、2017年5月1日至今，承担过市政工程建安费达3000万元（含）-6000万元（含）以内的，每个得3分。</w:t>
            </w:r>
          </w:p>
          <w:p>
            <w:r>
              <w:t>2</w:t>
            </w:r>
            <w:r>
              <w:rPr>
                <w:rFonts w:hint="eastAsia"/>
              </w:rPr>
              <w:t>、2017年5月1日至今，承担过市政工程建安费达6000万元（不含）以上的，每个得6分。</w:t>
            </w:r>
          </w:p>
          <w:p>
            <w:r>
              <w:rPr>
                <w:rFonts w:hint="eastAsia"/>
              </w:rPr>
              <w:t>本项最高得分为</w:t>
            </w:r>
            <w:r>
              <w:t>20</w:t>
            </w:r>
            <w:r>
              <w:rPr>
                <w:rFonts w:hint="eastAsia"/>
              </w:rPr>
              <w:t>分，每项业绩不重复计分。</w:t>
            </w:r>
          </w:p>
          <w:p>
            <w:pPr>
              <w:rPr>
                <w:color w:val="FF0000"/>
              </w:rPr>
            </w:pPr>
            <w:r>
              <w:rPr>
                <w:rFonts w:hint="eastAsia"/>
              </w:rPr>
              <w:t>评分依据：中标通知书及合同协议书复印件，时间以合同签订的时间为准，业绩需提供业绩真实性的网上公示证明截图（中标公示或“全国建筑市场监管公共服务平台”工程项目中可查询的业绩）。提供中标通知书及合同协议书原件核对，无原件或业绩无网上截图证明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750" w:type="dxa"/>
            <w:vAlign w:val="center"/>
          </w:tcPr>
          <w:p>
            <w:pPr>
              <w:jc w:val="center"/>
              <w:rPr>
                <w:rFonts w:ascii="宋体"/>
                <w:b/>
                <w:szCs w:val="21"/>
              </w:rPr>
            </w:pPr>
            <w:r>
              <w:rPr>
                <w:rFonts w:hint="eastAsia" w:ascii="宋体"/>
                <w:bCs/>
                <w:szCs w:val="21"/>
              </w:rPr>
              <w:t>2.2.4（4）</w:t>
            </w:r>
          </w:p>
        </w:tc>
        <w:tc>
          <w:tcPr>
            <w:tcW w:w="1443" w:type="dxa"/>
            <w:vAlign w:val="center"/>
          </w:tcPr>
          <w:p>
            <w:pPr>
              <w:spacing w:line="340" w:lineRule="exact"/>
              <w:rPr>
                <w:rFonts w:ascii="宋体"/>
                <w:szCs w:val="21"/>
              </w:rPr>
            </w:pPr>
            <w:r>
              <w:rPr>
                <w:rFonts w:hint="eastAsia" w:ascii="宋体"/>
                <w:szCs w:val="21"/>
              </w:rPr>
              <w:t>项目管理机构（1</w:t>
            </w:r>
            <w:r>
              <w:rPr>
                <w:rFonts w:ascii="宋体"/>
                <w:szCs w:val="21"/>
              </w:rPr>
              <w:t>0</w:t>
            </w:r>
            <w:r>
              <w:rPr>
                <w:rFonts w:hint="eastAsia" w:ascii="宋体"/>
                <w:szCs w:val="21"/>
              </w:rPr>
              <w:t>分）</w:t>
            </w:r>
          </w:p>
        </w:tc>
        <w:tc>
          <w:tcPr>
            <w:tcW w:w="1907" w:type="dxa"/>
            <w:vAlign w:val="center"/>
          </w:tcPr>
          <w:p>
            <w:pPr>
              <w:spacing w:line="340" w:lineRule="exact"/>
              <w:ind w:firstLine="308" w:firstLineChars="147"/>
              <w:jc w:val="center"/>
              <w:rPr>
                <w:rFonts w:ascii="宋体"/>
                <w:szCs w:val="21"/>
              </w:rPr>
            </w:pPr>
            <w:r>
              <w:rPr>
                <w:rFonts w:hint="eastAsia" w:ascii="宋体"/>
                <w:szCs w:val="21"/>
              </w:rPr>
              <w:t>管理团队    （满分1</w:t>
            </w:r>
            <w:r>
              <w:rPr>
                <w:rFonts w:ascii="宋体"/>
                <w:szCs w:val="21"/>
              </w:rPr>
              <w:t>0</w:t>
            </w:r>
            <w:r>
              <w:rPr>
                <w:rFonts w:hint="eastAsia" w:ascii="宋体"/>
                <w:szCs w:val="21"/>
              </w:rPr>
              <w:t>分）</w:t>
            </w:r>
          </w:p>
        </w:tc>
        <w:tc>
          <w:tcPr>
            <w:tcW w:w="4825" w:type="dxa"/>
            <w:gridSpan w:val="2"/>
            <w:vAlign w:val="center"/>
          </w:tcPr>
          <w:p>
            <w:r>
              <w:rPr>
                <w:rFonts w:hint="eastAsia"/>
              </w:rPr>
              <w:t>项目团队成员（除代建项目经理以外）职能类别里具有：项目总工程师（具备高级工程师及以上职称）、项目技术负责人（具备高级工程师及以上职称）、造价工程师、施工现场项目负责人（具备中级工程师及以上职称）、安全工程师（具备中级及以上职称，且具备省级建设主管部门颁发的安全员岗位证），配齐得10分，每缺少一个扣2分，扣完为止。</w:t>
            </w:r>
          </w:p>
          <w:p>
            <w:pPr>
              <w:rPr>
                <w:rFonts w:ascii="宋体"/>
                <w:szCs w:val="21"/>
              </w:rPr>
            </w:pPr>
            <w:r>
              <w:rPr>
                <w:rFonts w:hint="eastAsia"/>
              </w:rPr>
              <w:t>评分依据：提供人员身份证、岗位证</w:t>
            </w:r>
            <w:r>
              <w:t>或</w:t>
            </w:r>
            <w:r>
              <w:rPr>
                <w:rFonts w:hint="eastAsia"/>
              </w:rPr>
              <w:t>职称证或注册证等相关证明材料复印件，提供人员岗位证</w:t>
            </w:r>
            <w:r>
              <w:t>或</w:t>
            </w:r>
            <w:r>
              <w:rPr>
                <w:rFonts w:hint="eastAsia"/>
              </w:rPr>
              <w:t>职称证或注册证原件复核，不提供原件不得分。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1" w:hRule="atLeast"/>
          <w:jc w:val="center"/>
        </w:trPr>
        <w:tc>
          <w:tcPr>
            <w:tcW w:w="750" w:type="dxa"/>
            <w:vAlign w:val="center"/>
          </w:tcPr>
          <w:p>
            <w:pPr>
              <w:jc w:val="center"/>
              <w:rPr>
                <w:rFonts w:ascii="宋体" w:hAnsi="宋体"/>
                <w:b/>
                <w:szCs w:val="21"/>
              </w:rPr>
            </w:pPr>
            <w:r>
              <w:rPr>
                <w:rFonts w:hint="eastAsia" w:ascii="宋体" w:hAnsi="宋体"/>
                <w:b/>
                <w:szCs w:val="21"/>
              </w:rPr>
              <w:t>备注</w:t>
            </w:r>
          </w:p>
        </w:tc>
        <w:tc>
          <w:tcPr>
            <w:tcW w:w="8175" w:type="dxa"/>
            <w:gridSpan w:val="4"/>
            <w:vAlign w:val="center"/>
          </w:tcPr>
          <w:p>
            <w:pPr>
              <w:rPr>
                <w:rFonts w:ascii="宋体" w:hAnsi="宋体"/>
                <w:szCs w:val="21"/>
              </w:rPr>
            </w:pPr>
            <w:r>
              <w:rPr>
                <w:rFonts w:hint="eastAsia" w:ascii="宋体" w:hAnsi="宋体"/>
                <w:szCs w:val="21"/>
              </w:rPr>
              <w:t>注：</w:t>
            </w:r>
          </w:p>
          <w:p>
            <w:pPr>
              <w:numPr>
                <w:ilvl w:val="0"/>
                <w:numId w:val="4"/>
              </w:numPr>
              <w:rPr>
                <w:rFonts w:ascii="宋体"/>
                <w:szCs w:val="21"/>
              </w:rPr>
            </w:pPr>
            <w:r>
              <w:rPr>
                <w:rFonts w:hint="eastAsia" w:ascii="宋体" w:hAnsi="宋体"/>
                <w:szCs w:val="21"/>
              </w:rPr>
              <w:t>投标人须提供招标文件中涉及评分的证书和证明材料，并提供原件核验，如投标人在递交投标文件时未提供原件，该项评分按</w:t>
            </w:r>
            <w:r>
              <w:rPr>
                <w:rFonts w:hint="eastAsia" w:ascii="宋体"/>
                <w:szCs w:val="21"/>
              </w:rPr>
              <w:t>0</w:t>
            </w:r>
            <w:r>
              <w:rPr>
                <w:rFonts w:hint="eastAsia" w:ascii="宋体" w:hAnsi="宋体"/>
                <w:szCs w:val="21"/>
              </w:rPr>
              <w:t>分计。</w:t>
            </w:r>
          </w:p>
          <w:p>
            <w:pPr>
              <w:numPr>
                <w:ilvl w:val="0"/>
                <w:numId w:val="4"/>
              </w:numPr>
              <w:spacing w:line="340" w:lineRule="exact"/>
              <w:rPr>
                <w:rFonts w:ascii="宋体" w:hAnsi="宋体"/>
                <w:szCs w:val="21"/>
              </w:rPr>
            </w:pPr>
            <w:r>
              <w:rPr>
                <w:rFonts w:hint="eastAsia" w:ascii="宋体" w:hAnsi="宋体"/>
                <w:szCs w:val="21"/>
              </w:rPr>
              <w:t>投标人提供的证明材料必须是真实的，若投标人提供虚假证明材料，招标人将没收其投标保证金，并申请行政主管部门将其列入不良企业黑名单，并上报省级行政主管部门通报。若给招标人造成损失的，应给予赔偿并承担相应的法律责任，若其为中标单位，将取消其中标资格。</w:t>
            </w:r>
          </w:p>
          <w:p>
            <w:pPr>
              <w:numPr>
                <w:ilvl w:val="0"/>
                <w:numId w:val="4"/>
              </w:numPr>
              <w:spacing w:line="340" w:lineRule="exact"/>
              <w:rPr>
                <w:rFonts w:ascii="宋体" w:hAnsi="宋体"/>
                <w:szCs w:val="21"/>
              </w:rPr>
            </w:pPr>
            <w:r>
              <w:rPr>
                <w:rFonts w:hint="eastAsia" w:ascii="宋体" w:hAnsi="宋体"/>
                <w:szCs w:val="21"/>
              </w:rPr>
              <w:t>投标人应出具无不良行为记录的承诺书或相关证明材料，以响应招标文件的要求。</w:t>
            </w:r>
          </w:p>
        </w:tc>
      </w:tr>
    </w:tbl>
    <w:p>
      <w:pPr>
        <w:autoSpaceDE w:val="0"/>
        <w:autoSpaceDN w:val="0"/>
        <w:adjustRightInd w:val="0"/>
        <w:jc w:val="left"/>
        <w:rPr>
          <w:rFonts w:ascii="楷体_GB2312" w:eastAsia="楷体_GB2312"/>
        </w:rPr>
      </w:pPr>
    </w:p>
    <w:p>
      <w:pPr>
        <w:autoSpaceDE w:val="0"/>
        <w:autoSpaceDN w:val="0"/>
        <w:adjustRightInd w:val="0"/>
        <w:jc w:val="left"/>
        <w:rPr>
          <w:rFonts w:ascii="楷体_GB2312" w:eastAsia="楷体_GB2312"/>
        </w:rPr>
      </w:pPr>
    </w:p>
    <w:p>
      <w:pPr>
        <w:autoSpaceDE w:val="0"/>
        <w:autoSpaceDN w:val="0"/>
        <w:adjustRightInd w:val="0"/>
        <w:jc w:val="left"/>
        <w:rPr>
          <w:rFonts w:ascii="楷体_GB2312" w:eastAsia="楷体_GB2312"/>
        </w:rPr>
      </w:pPr>
    </w:p>
    <w:p>
      <w:pPr>
        <w:autoSpaceDE w:val="0"/>
        <w:autoSpaceDN w:val="0"/>
        <w:adjustRightInd w:val="0"/>
        <w:jc w:val="left"/>
        <w:rPr>
          <w:rFonts w:ascii="楷体_GB2312" w:eastAsia="楷体_GB2312"/>
        </w:rPr>
      </w:pPr>
    </w:p>
    <w:p>
      <w:pPr>
        <w:autoSpaceDE w:val="0"/>
        <w:autoSpaceDN w:val="0"/>
        <w:adjustRightInd w:val="0"/>
        <w:jc w:val="left"/>
        <w:rPr>
          <w:rFonts w:ascii="楷体_GB2312" w:eastAsia="楷体_GB2312"/>
        </w:rPr>
      </w:pPr>
    </w:p>
    <w:p>
      <w:pPr>
        <w:autoSpaceDE w:val="0"/>
        <w:autoSpaceDN w:val="0"/>
        <w:adjustRightInd w:val="0"/>
        <w:jc w:val="left"/>
        <w:rPr>
          <w:rFonts w:ascii="楷体_GB2312" w:eastAsia="楷体_GB2312"/>
        </w:rPr>
      </w:pPr>
    </w:p>
    <w:p>
      <w:pPr>
        <w:autoSpaceDE w:val="0"/>
        <w:autoSpaceDN w:val="0"/>
        <w:adjustRightInd w:val="0"/>
        <w:jc w:val="left"/>
        <w:rPr>
          <w:rFonts w:ascii="楷体_GB2312" w:eastAsia="楷体_GB2312"/>
        </w:rPr>
      </w:pPr>
    </w:p>
    <w:p>
      <w:pPr>
        <w:autoSpaceDE w:val="0"/>
        <w:autoSpaceDN w:val="0"/>
        <w:adjustRightInd w:val="0"/>
        <w:jc w:val="left"/>
        <w:rPr>
          <w:rFonts w:ascii="楷体_GB2312" w:eastAsia="楷体_GB2312"/>
        </w:rPr>
      </w:pPr>
    </w:p>
    <w:p>
      <w:pPr>
        <w:autoSpaceDE w:val="0"/>
        <w:autoSpaceDN w:val="0"/>
        <w:adjustRightInd w:val="0"/>
        <w:jc w:val="left"/>
        <w:rPr>
          <w:rFonts w:ascii="楷体_GB2312" w:eastAsia="楷体_GB2312"/>
        </w:rPr>
      </w:pPr>
    </w:p>
    <w:p>
      <w:pPr>
        <w:autoSpaceDE w:val="0"/>
        <w:autoSpaceDN w:val="0"/>
        <w:adjustRightInd w:val="0"/>
        <w:jc w:val="left"/>
        <w:rPr>
          <w:rFonts w:ascii="楷体_GB2312" w:eastAsia="楷体_GB2312"/>
        </w:rPr>
      </w:pPr>
    </w:p>
    <w:p>
      <w:pPr>
        <w:autoSpaceDE w:val="0"/>
        <w:autoSpaceDN w:val="0"/>
        <w:adjustRightInd w:val="0"/>
        <w:jc w:val="left"/>
        <w:rPr>
          <w:rFonts w:ascii="楷体_GB2312" w:eastAsia="楷体_GB2312"/>
        </w:rPr>
      </w:pPr>
    </w:p>
    <w:p>
      <w:pPr>
        <w:autoSpaceDE w:val="0"/>
        <w:autoSpaceDN w:val="0"/>
        <w:adjustRightInd w:val="0"/>
        <w:jc w:val="left"/>
        <w:rPr>
          <w:rFonts w:ascii="楷体_GB2312" w:eastAsia="楷体_GB2312"/>
        </w:rPr>
      </w:pPr>
    </w:p>
    <w:p>
      <w:pPr>
        <w:autoSpaceDE w:val="0"/>
        <w:autoSpaceDN w:val="0"/>
        <w:adjustRightInd w:val="0"/>
        <w:jc w:val="left"/>
        <w:rPr>
          <w:rFonts w:ascii="黑体" w:hAnsi="TimesNewRomanPSMT" w:eastAsia="黑体" w:cs="黑体"/>
          <w:kern w:val="0"/>
          <w:sz w:val="28"/>
          <w:szCs w:val="28"/>
        </w:rPr>
      </w:pPr>
      <w:r>
        <w:rPr>
          <w:rFonts w:ascii="TimesNewRomanPSMT" w:hAnsi="TimesNewRomanPSMT" w:cs="TimesNewRomanPSMT"/>
          <w:kern w:val="0"/>
          <w:sz w:val="28"/>
          <w:szCs w:val="28"/>
        </w:rPr>
        <w:t xml:space="preserve"> 1. </w:t>
      </w:r>
      <w:r>
        <w:rPr>
          <w:rFonts w:hint="eastAsia" w:ascii="黑体" w:hAnsi="TimesNewRomanPSMT" w:eastAsia="黑体" w:cs="黑体"/>
          <w:kern w:val="0"/>
          <w:sz w:val="28"/>
          <w:szCs w:val="28"/>
        </w:rPr>
        <w:t>评标方法</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本次评标采用综合评估法。评标委员会对满足招标文件实质性要求的投标文件，按照本章第</w:t>
      </w:r>
      <w:r>
        <w:rPr>
          <w:rFonts w:ascii="宋体" w:hAnsi="宋体" w:cs="TimesNewRomanPSMT"/>
          <w:kern w:val="0"/>
          <w:sz w:val="24"/>
        </w:rPr>
        <w:t xml:space="preserve">2.2 </w:t>
      </w:r>
      <w:r>
        <w:rPr>
          <w:rFonts w:hint="eastAsia" w:ascii="宋体" w:hAnsi="宋体" w:cs="宋体"/>
          <w:kern w:val="0"/>
          <w:sz w:val="24"/>
        </w:rPr>
        <w:t>款规定的评分标准进行打分，并按得分由高到低顺序推荐中标候选人，或根据招标人授权直接确定中标人，但投标报价低于其成本的除外。综合评分相等时，以投标报价低的优先；投标报价也相等的，由招标人自行确定。</w:t>
      </w:r>
    </w:p>
    <w:p>
      <w:pPr>
        <w:autoSpaceDE w:val="0"/>
        <w:autoSpaceDN w:val="0"/>
        <w:adjustRightInd w:val="0"/>
        <w:jc w:val="left"/>
        <w:rPr>
          <w:rFonts w:ascii="黑体" w:hAnsi="TimesNewRomanPSMT" w:eastAsia="黑体" w:cs="黑体"/>
          <w:kern w:val="0"/>
          <w:sz w:val="28"/>
          <w:szCs w:val="28"/>
        </w:rPr>
      </w:pPr>
      <w:r>
        <w:rPr>
          <w:rFonts w:ascii="TimesNewRomanPSMT" w:hAnsi="TimesNewRomanPSMT" w:cs="TimesNewRomanPSMT"/>
          <w:kern w:val="0"/>
          <w:sz w:val="28"/>
          <w:szCs w:val="28"/>
        </w:rPr>
        <w:t xml:space="preserve">2. </w:t>
      </w:r>
      <w:r>
        <w:rPr>
          <w:rFonts w:hint="eastAsia" w:ascii="黑体" w:hAnsi="TimesNewRomanPSMT" w:eastAsia="黑体" w:cs="黑体"/>
          <w:kern w:val="0"/>
          <w:sz w:val="28"/>
          <w:szCs w:val="28"/>
        </w:rPr>
        <w:t>评审标准</w:t>
      </w:r>
    </w:p>
    <w:p>
      <w:pPr>
        <w:autoSpaceDE w:val="0"/>
        <w:autoSpaceDN w:val="0"/>
        <w:adjustRightInd w:val="0"/>
        <w:spacing w:line="360" w:lineRule="auto"/>
        <w:jc w:val="left"/>
        <w:rPr>
          <w:rFonts w:ascii="宋体" w:hAnsi="宋体" w:cs="黑体"/>
          <w:kern w:val="0"/>
          <w:sz w:val="24"/>
        </w:rPr>
      </w:pPr>
      <w:r>
        <w:rPr>
          <w:rFonts w:ascii="宋体" w:hAnsi="宋体" w:cs="TimesNewRomanPSMT"/>
          <w:kern w:val="0"/>
          <w:sz w:val="24"/>
        </w:rPr>
        <w:t xml:space="preserve">2.1 </w:t>
      </w:r>
      <w:r>
        <w:rPr>
          <w:rFonts w:hint="eastAsia" w:ascii="宋体" w:hAnsi="宋体" w:cs="黑体"/>
          <w:kern w:val="0"/>
          <w:sz w:val="24"/>
        </w:rPr>
        <w:t>初步评审标准</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2.1.1 </w:t>
      </w:r>
      <w:r>
        <w:rPr>
          <w:rFonts w:hint="eastAsia" w:ascii="宋体" w:hAnsi="宋体" w:cs="宋体"/>
          <w:kern w:val="0"/>
          <w:sz w:val="24"/>
        </w:rPr>
        <w:t>形式评审标准：见评标办法前附表。</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2.1.2 </w:t>
      </w:r>
      <w:r>
        <w:rPr>
          <w:rFonts w:hint="eastAsia" w:ascii="宋体" w:hAnsi="宋体" w:cs="宋体"/>
          <w:kern w:val="0"/>
          <w:sz w:val="24"/>
        </w:rPr>
        <w:t>资格评审标准：见评标办法前附表（适用于未进行资格预审的）。</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2.1.3 </w:t>
      </w:r>
      <w:r>
        <w:rPr>
          <w:rFonts w:hint="eastAsia" w:ascii="宋体" w:hAnsi="宋体" w:cs="宋体"/>
          <w:kern w:val="0"/>
          <w:sz w:val="24"/>
        </w:rPr>
        <w:t>响应性评审标准：见评标办法前附表。</w:t>
      </w:r>
    </w:p>
    <w:p>
      <w:pPr>
        <w:autoSpaceDE w:val="0"/>
        <w:autoSpaceDN w:val="0"/>
        <w:adjustRightInd w:val="0"/>
        <w:spacing w:line="360" w:lineRule="auto"/>
        <w:jc w:val="left"/>
        <w:rPr>
          <w:rFonts w:ascii="宋体" w:hAnsi="宋体" w:cs="黑体"/>
          <w:kern w:val="0"/>
          <w:sz w:val="24"/>
        </w:rPr>
      </w:pPr>
      <w:r>
        <w:rPr>
          <w:rFonts w:ascii="宋体" w:hAnsi="宋体" w:cs="TimesNewRomanPSMT"/>
          <w:kern w:val="0"/>
          <w:sz w:val="24"/>
        </w:rPr>
        <w:t xml:space="preserve">2.2 </w:t>
      </w:r>
      <w:r>
        <w:rPr>
          <w:rFonts w:hint="eastAsia" w:ascii="宋体" w:hAnsi="宋体" w:cs="黑体"/>
          <w:kern w:val="0"/>
          <w:sz w:val="24"/>
        </w:rPr>
        <w:t>分值构成与评分标准</w:t>
      </w:r>
    </w:p>
    <w:p>
      <w:pPr>
        <w:autoSpaceDE w:val="0"/>
        <w:autoSpaceDN w:val="0"/>
        <w:adjustRightInd w:val="0"/>
        <w:spacing w:line="360" w:lineRule="auto"/>
        <w:ind w:firstLine="480" w:firstLineChars="200"/>
        <w:jc w:val="left"/>
        <w:rPr>
          <w:rFonts w:ascii="宋体" w:hAnsi="宋体" w:cs="黑体"/>
          <w:kern w:val="0"/>
          <w:sz w:val="24"/>
        </w:rPr>
      </w:pPr>
      <w:r>
        <w:rPr>
          <w:rFonts w:ascii="宋体" w:hAnsi="宋体" w:cs="TimesNewRomanPSMT"/>
          <w:kern w:val="0"/>
          <w:sz w:val="24"/>
        </w:rPr>
        <w:t xml:space="preserve">2.2.1 </w:t>
      </w:r>
      <w:r>
        <w:rPr>
          <w:rFonts w:hint="eastAsia" w:ascii="宋体" w:hAnsi="宋体" w:cs="黑体"/>
          <w:kern w:val="0"/>
          <w:sz w:val="24"/>
        </w:rPr>
        <w:t>分值构成</w:t>
      </w:r>
    </w:p>
    <w:p>
      <w:pPr>
        <w:autoSpaceDE w:val="0"/>
        <w:autoSpaceDN w:val="0"/>
        <w:adjustRightInd w:val="0"/>
        <w:spacing w:line="360" w:lineRule="auto"/>
        <w:ind w:firstLine="960" w:firstLineChars="400"/>
        <w:jc w:val="left"/>
        <w:rPr>
          <w:rFonts w:ascii="宋体" w:hAnsi="宋体" w:cs="宋体"/>
          <w:kern w:val="0"/>
          <w:sz w:val="24"/>
        </w:rPr>
      </w:pPr>
      <w:r>
        <w:rPr>
          <w:rFonts w:hint="eastAsia" w:ascii="宋体" w:hAnsi="宋体" w:cs="黑体"/>
          <w:kern w:val="0"/>
          <w:sz w:val="24"/>
        </w:rPr>
        <w:t>（1）代建方案：</w:t>
      </w:r>
      <w:r>
        <w:rPr>
          <w:rFonts w:hint="eastAsia" w:ascii="宋体" w:hAnsi="宋体" w:cs="宋体"/>
          <w:kern w:val="0"/>
          <w:sz w:val="24"/>
        </w:rPr>
        <w:t>见评标办法前附表；</w:t>
      </w:r>
    </w:p>
    <w:p>
      <w:pPr>
        <w:autoSpaceDE w:val="0"/>
        <w:autoSpaceDN w:val="0"/>
        <w:adjustRightInd w:val="0"/>
        <w:spacing w:line="360" w:lineRule="auto"/>
        <w:ind w:firstLine="960" w:firstLineChars="400"/>
        <w:jc w:val="left"/>
        <w:rPr>
          <w:rFonts w:ascii="宋体" w:hAnsi="宋体" w:cs="宋体"/>
          <w:kern w:val="0"/>
          <w:sz w:val="24"/>
        </w:rPr>
      </w:pPr>
      <w:r>
        <w:rPr>
          <w:rFonts w:hint="eastAsia" w:ascii="宋体" w:hAnsi="宋体" w:cs="宋体"/>
          <w:kern w:val="0"/>
          <w:sz w:val="24"/>
        </w:rPr>
        <w:t>（</w:t>
      </w:r>
      <w:r>
        <w:rPr>
          <w:rFonts w:hint="eastAsia" w:ascii="宋体" w:hAnsi="宋体" w:cs="TimesNewRomanPSMT"/>
          <w:kern w:val="0"/>
          <w:sz w:val="24"/>
        </w:rPr>
        <w:t>2</w:t>
      </w:r>
      <w:r>
        <w:rPr>
          <w:rFonts w:hint="eastAsia" w:ascii="宋体" w:hAnsi="宋体" w:cs="宋体"/>
          <w:kern w:val="0"/>
          <w:sz w:val="24"/>
        </w:rPr>
        <w:t>）项目管理机构：见评标办法前附表；</w:t>
      </w:r>
    </w:p>
    <w:p>
      <w:pPr>
        <w:autoSpaceDE w:val="0"/>
        <w:autoSpaceDN w:val="0"/>
        <w:adjustRightInd w:val="0"/>
        <w:spacing w:line="360" w:lineRule="auto"/>
        <w:ind w:firstLine="960" w:firstLineChars="400"/>
        <w:jc w:val="left"/>
        <w:rPr>
          <w:rFonts w:ascii="宋体" w:hAnsi="宋体" w:cs="宋体"/>
          <w:kern w:val="0"/>
          <w:sz w:val="24"/>
        </w:rPr>
      </w:pPr>
      <w:r>
        <w:rPr>
          <w:rFonts w:hint="eastAsia" w:ascii="宋体" w:hAnsi="宋体" w:cs="宋体"/>
          <w:kern w:val="0"/>
          <w:sz w:val="24"/>
        </w:rPr>
        <w:t>（</w:t>
      </w:r>
      <w:r>
        <w:rPr>
          <w:rFonts w:hint="eastAsia" w:ascii="宋体" w:hAnsi="宋体" w:cs="TimesNewRomanPSMT"/>
          <w:kern w:val="0"/>
          <w:sz w:val="24"/>
        </w:rPr>
        <w:t>3</w:t>
      </w:r>
      <w:r>
        <w:rPr>
          <w:rFonts w:hint="eastAsia" w:ascii="宋体" w:hAnsi="宋体" w:cs="宋体"/>
          <w:kern w:val="0"/>
          <w:sz w:val="24"/>
        </w:rPr>
        <w:t>）投标报价：见评标办法前附表；</w:t>
      </w:r>
    </w:p>
    <w:p>
      <w:pPr>
        <w:autoSpaceDE w:val="0"/>
        <w:autoSpaceDN w:val="0"/>
        <w:adjustRightInd w:val="0"/>
        <w:spacing w:line="360" w:lineRule="auto"/>
        <w:ind w:firstLine="960" w:firstLineChars="400"/>
        <w:jc w:val="left"/>
        <w:rPr>
          <w:rFonts w:ascii="宋体" w:hAnsi="宋体" w:cs="宋体"/>
          <w:kern w:val="0"/>
          <w:sz w:val="24"/>
        </w:rPr>
      </w:pPr>
      <w:r>
        <w:rPr>
          <w:rFonts w:hint="eastAsia" w:ascii="宋体" w:hAnsi="宋体" w:cs="宋体"/>
          <w:kern w:val="0"/>
          <w:sz w:val="24"/>
        </w:rPr>
        <w:t>（</w:t>
      </w:r>
      <w:r>
        <w:rPr>
          <w:rFonts w:hint="eastAsia" w:ascii="宋体" w:hAnsi="宋体" w:cs="TimesNewRomanPSMT"/>
          <w:kern w:val="0"/>
          <w:sz w:val="24"/>
        </w:rPr>
        <w:t>4</w:t>
      </w:r>
      <w:r>
        <w:rPr>
          <w:rFonts w:hint="eastAsia" w:ascii="宋体" w:hAnsi="宋体" w:cs="宋体"/>
          <w:kern w:val="0"/>
          <w:sz w:val="24"/>
        </w:rPr>
        <w:t>）其他评分因素：见评标办法前附表。</w:t>
      </w:r>
    </w:p>
    <w:p>
      <w:pPr>
        <w:autoSpaceDE w:val="0"/>
        <w:autoSpaceDN w:val="0"/>
        <w:adjustRightInd w:val="0"/>
        <w:spacing w:line="360" w:lineRule="auto"/>
        <w:ind w:firstLine="480" w:firstLineChars="200"/>
        <w:jc w:val="left"/>
        <w:rPr>
          <w:rFonts w:ascii="宋体" w:hAnsi="宋体" w:cs="黑体"/>
          <w:kern w:val="0"/>
          <w:sz w:val="24"/>
        </w:rPr>
      </w:pPr>
      <w:r>
        <w:rPr>
          <w:rFonts w:ascii="宋体" w:hAnsi="宋体" w:cs="TimesNewRomanPSMT"/>
          <w:kern w:val="0"/>
          <w:sz w:val="24"/>
        </w:rPr>
        <w:t xml:space="preserve">2.2.2 </w:t>
      </w:r>
      <w:r>
        <w:rPr>
          <w:rFonts w:hint="eastAsia" w:ascii="宋体" w:hAnsi="宋体" w:cs="黑体"/>
          <w:kern w:val="0"/>
          <w:sz w:val="24"/>
        </w:rPr>
        <w:t>评标基准价计算</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评标基准价计算方法：见评标办法前附表。</w:t>
      </w:r>
    </w:p>
    <w:p>
      <w:pPr>
        <w:autoSpaceDE w:val="0"/>
        <w:autoSpaceDN w:val="0"/>
        <w:adjustRightInd w:val="0"/>
        <w:spacing w:line="360" w:lineRule="auto"/>
        <w:ind w:firstLine="480" w:firstLineChars="200"/>
        <w:jc w:val="left"/>
        <w:rPr>
          <w:rFonts w:ascii="宋体" w:hAnsi="宋体" w:cs="黑体"/>
          <w:kern w:val="0"/>
          <w:sz w:val="24"/>
        </w:rPr>
      </w:pPr>
      <w:r>
        <w:rPr>
          <w:rFonts w:ascii="宋体" w:hAnsi="宋体" w:cs="TimesNewRomanPSMT"/>
          <w:kern w:val="0"/>
          <w:sz w:val="24"/>
        </w:rPr>
        <w:t xml:space="preserve">2.2.4 </w:t>
      </w:r>
      <w:r>
        <w:rPr>
          <w:rFonts w:hint="eastAsia" w:ascii="宋体" w:hAnsi="宋体" w:cs="黑体"/>
          <w:kern w:val="0"/>
          <w:sz w:val="24"/>
        </w:rPr>
        <w:t>评分标准</w:t>
      </w:r>
    </w:p>
    <w:p>
      <w:pPr>
        <w:autoSpaceDE w:val="0"/>
        <w:autoSpaceDN w:val="0"/>
        <w:adjustRightInd w:val="0"/>
        <w:spacing w:line="360" w:lineRule="auto"/>
        <w:ind w:firstLine="960" w:firstLineChars="400"/>
        <w:jc w:val="left"/>
        <w:rPr>
          <w:rFonts w:ascii="宋体" w:hAnsi="宋体" w:cs="宋体"/>
          <w:kern w:val="0"/>
          <w:sz w:val="24"/>
        </w:rPr>
      </w:pPr>
      <w:r>
        <w:rPr>
          <w:rFonts w:hint="eastAsia" w:ascii="宋体" w:hAnsi="宋体" w:cs="黑体"/>
          <w:kern w:val="0"/>
          <w:sz w:val="24"/>
        </w:rPr>
        <w:t>（1）代建方案评分标准：</w:t>
      </w:r>
      <w:r>
        <w:rPr>
          <w:rFonts w:hint="eastAsia" w:ascii="宋体" w:hAnsi="宋体" w:cs="宋体"/>
          <w:kern w:val="0"/>
          <w:sz w:val="24"/>
        </w:rPr>
        <w:t>见评标办法前附表；</w:t>
      </w:r>
    </w:p>
    <w:p>
      <w:pPr>
        <w:autoSpaceDE w:val="0"/>
        <w:autoSpaceDN w:val="0"/>
        <w:adjustRightInd w:val="0"/>
        <w:spacing w:line="360" w:lineRule="auto"/>
        <w:ind w:firstLine="960" w:firstLineChars="400"/>
        <w:jc w:val="left"/>
        <w:rPr>
          <w:rFonts w:ascii="宋体" w:hAnsi="宋体" w:cs="宋体"/>
          <w:kern w:val="0"/>
          <w:sz w:val="24"/>
        </w:rPr>
      </w:pPr>
      <w:r>
        <w:rPr>
          <w:rFonts w:hint="eastAsia" w:ascii="宋体" w:hAnsi="宋体" w:cs="宋体"/>
          <w:kern w:val="0"/>
          <w:sz w:val="24"/>
        </w:rPr>
        <w:t>（</w:t>
      </w:r>
      <w:r>
        <w:rPr>
          <w:rFonts w:hint="eastAsia" w:ascii="宋体" w:hAnsi="宋体" w:cs="TimesNewRomanPSMT"/>
          <w:kern w:val="0"/>
          <w:sz w:val="24"/>
        </w:rPr>
        <w:t>2</w:t>
      </w:r>
      <w:r>
        <w:rPr>
          <w:rFonts w:hint="eastAsia" w:ascii="宋体" w:hAnsi="宋体" w:cs="宋体"/>
          <w:kern w:val="0"/>
          <w:sz w:val="24"/>
        </w:rPr>
        <w:t>）项目管理机构评分标准：见评标办法前附表；</w:t>
      </w:r>
    </w:p>
    <w:p>
      <w:pPr>
        <w:autoSpaceDE w:val="0"/>
        <w:autoSpaceDN w:val="0"/>
        <w:adjustRightInd w:val="0"/>
        <w:spacing w:line="360" w:lineRule="auto"/>
        <w:ind w:firstLine="960" w:firstLineChars="400"/>
        <w:jc w:val="left"/>
        <w:rPr>
          <w:rFonts w:ascii="宋体" w:hAnsi="宋体" w:cs="宋体"/>
          <w:kern w:val="0"/>
          <w:sz w:val="24"/>
        </w:rPr>
      </w:pPr>
      <w:r>
        <w:rPr>
          <w:rFonts w:hint="eastAsia" w:ascii="宋体" w:hAnsi="宋体" w:cs="宋体"/>
          <w:kern w:val="0"/>
          <w:sz w:val="24"/>
        </w:rPr>
        <w:t>（</w:t>
      </w:r>
      <w:r>
        <w:rPr>
          <w:rFonts w:hint="eastAsia" w:ascii="宋体" w:hAnsi="宋体" w:cs="TimesNewRomanPSMT"/>
          <w:kern w:val="0"/>
          <w:sz w:val="24"/>
        </w:rPr>
        <w:t>3</w:t>
      </w:r>
      <w:r>
        <w:rPr>
          <w:rFonts w:hint="eastAsia" w:ascii="宋体" w:hAnsi="宋体" w:cs="宋体"/>
          <w:kern w:val="0"/>
          <w:sz w:val="24"/>
        </w:rPr>
        <w:t>）投标报价评分标准：见评标办法前附表；</w:t>
      </w:r>
    </w:p>
    <w:p>
      <w:pPr>
        <w:autoSpaceDE w:val="0"/>
        <w:autoSpaceDN w:val="0"/>
        <w:adjustRightInd w:val="0"/>
        <w:spacing w:line="360" w:lineRule="auto"/>
        <w:ind w:firstLine="960" w:firstLineChars="400"/>
        <w:jc w:val="left"/>
        <w:rPr>
          <w:rFonts w:ascii="宋体" w:hAnsi="宋体" w:cs="宋体"/>
          <w:kern w:val="0"/>
          <w:sz w:val="24"/>
        </w:rPr>
      </w:pPr>
      <w:r>
        <w:rPr>
          <w:rFonts w:hint="eastAsia" w:ascii="宋体" w:hAnsi="宋体" w:cs="宋体"/>
          <w:kern w:val="0"/>
          <w:sz w:val="24"/>
        </w:rPr>
        <w:t>（</w:t>
      </w:r>
      <w:r>
        <w:rPr>
          <w:rFonts w:hint="eastAsia" w:ascii="宋体" w:hAnsi="宋体" w:cs="TimesNewRomanPSMT"/>
          <w:kern w:val="0"/>
          <w:sz w:val="24"/>
        </w:rPr>
        <w:t>4</w:t>
      </w:r>
      <w:r>
        <w:rPr>
          <w:rFonts w:hint="eastAsia" w:ascii="宋体" w:hAnsi="宋体" w:cs="宋体"/>
          <w:kern w:val="0"/>
          <w:sz w:val="24"/>
        </w:rPr>
        <w:t>）其他因素评分标准：见评标办法前附表。</w:t>
      </w:r>
    </w:p>
    <w:p>
      <w:pPr>
        <w:autoSpaceDE w:val="0"/>
        <w:autoSpaceDN w:val="0"/>
        <w:adjustRightInd w:val="0"/>
        <w:jc w:val="left"/>
        <w:rPr>
          <w:rFonts w:ascii="黑体" w:hAnsi="TimesNewRomanPSMT" w:eastAsia="黑体" w:cs="黑体"/>
          <w:kern w:val="0"/>
          <w:sz w:val="28"/>
          <w:szCs w:val="28"/>
        </w:rPr>
      </w:pPr>
      <w:r>
        <w:rPr>
          <w:rFonts w:ascii="TimesNewRomanPSMT" w:hAnsi="TimesNewRomanPSMT" w:cs="TimesNewRomanPSMT"/>
          <w:kern w:val="0"/>
          <w:sz w:val="28"/>
          <w:szCs w:val="28"/>
        </w:rPr>
        <w:t xml:space="preserve">3. </w:t>
      </w:r>
      <w:r>
        <w:rPr>
          <w:rFonts w:hint="eastAsia" w:ascii="黑体" w:hAnsi="TimesNewRomanPSMT" w:eastAsia="黑体" w:cs="黑体"/>
          <w:kern w:val="0"/>
          <w:sz w:val="28"/>
          <w:szCs w:val="28"/>
        </w:rPr>
        <w:t>评标程序</w:t>
      </w:r>
    </w:p>
    <w:p>
      <w:pPr>
        <w:autoSpaceDE w:val="0"/>
        <w:autoSpaceDN w:val="0"/>
        <w:adjustRightInd w:val="0"/>
        <w:spacing w:line="360" w:lineRule="auto"/>
        <w:jc w:val="left"/>
        <w:rPr>
          <w:rFonts w:ascii="宋体" w:hAnsi="宋体" w:cs="黑体"/>
          <w:kern w:val="0"/>
          <w:sz w:val="24"/>
        </w:rPr>
      </w:pPr>
      <w:r>
        <w:rPr>
          <w:rFonts w:ascii="宋体" w:hAnsi="宋体" w:cs="TimesNewRomanPSMT"/>
          <w:kern w:val="0"/>
          <w:sz w:val="24"/>
        </w:rPr>
        <w:t xml:space="preserve">3.1 </w:t>
      </w:r>
      <w:r>
        <w:rPr>
          <w:rFonts w:hint="eastAsia" w:ascii="宋体" w:hAnsi="宋体" w:cs="黑体"/>
          <w:kern w:val="0"/>
          <w:sz w:val="24"/>
        </w:rPr>
        <w:t>初步评审</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3.1.1 </w:t>
      </w:r>
      <w:r>
        <w:rPr>
          <w:rFonts w:hint="eastAsia" w:ascii="宋体" w:hAnsi="宋体" w:cs="宋体"/>
          <w:kern w:val="0"/>
          <w:sz w:val="24"/>
        </w:rPr>
        <w:t>评标委员会可以要求投标人提交第二章“投标人须知”第</w:t>
      </w:r>
      <w:r>
        <w:rPr>
          <w:rFonts w:ascii="宋体" w:hAnsi="宋体" w:cs="TimesNewRomanPSMT"/>
          <w:kern w:val="0"/>
          <w:sz w:val="24"/>
        </w:rPr>
        <w:t xml:space="preserve">3.5.1 </w:t>
      </w:r>
      <w:r>
        <w:rPr>
          <w:rFonts w:hint="eastAsia" w:ascii="宋体" w:hAnsi="宋体" w:cs="宋体"/>
          <w:kern w:val="0"/>
          <w:sz w:val="24"/>
        </w:rPr>
        <w:t>项至第</w:t>
      </w:r>
      <w:r>
        <w:rPr>
          <w:rFonts w:ascii="宋体" w:hAnsi="宋体" w:cs="TimesNewRomanPSMT"/>
          <w:kern w:val="0"/>
          <w:sz w:val="24"/>
        </w:rPr>
        <w:t xml:space="preserve">3.5.5 </w:t>
      </w:r>
      <w:r>
        <w:rPr>
          <w:rFonts w:hint="eastAsia" w:ascii="宋体" w:hAnsi="宋体" w:cs="宋体"/>
          <w:kern w:val="0"/>
          <w:sz w:val="24"/>
        </w:rPr>
        <w:t>项规定的有关证明和证件的原件，以便核验。评标委员会依据本章第</w:t>
      </w:r>
      <w:r>
        <w:rPr>
          <w:rFonts w:ascii="宋体" w:hAnsi="宋体" w:cs="TimesNewRomanPSMT"/>
          <w:kern w:val="0"/>
          <w:sz w:val="24"/>
        </w:rPr>
        <w:t xml:space="preserve">2.1 </w:t>
      </w:r>
      <w:r>
        <w:rPr>
          <w:rFonts w:hint="eastAsia" w:ascii="宋体" w:hAnsi="宋体" w:cs="宋体"/>
          <w:kern w:val="0"/>
          <w:sz w:val="24"/>
        </w:rPr>
        <w:t>款规定的标准对投标文件进行初步评审。有一项不符合评审标准的，作废标处理。（适用于未进行资格预审的）</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3.1.2 </w:t>
      </w:r>
      <w:r>
        <w:rPr>
          <w:rFonts w:hint="eastAsia" w:ascii="宋体" w:hAnsi="宋体" w:cs="宋体"/>
          <w:kern w:val="0"/>
          <w:sz w:val="24"/>
        </w:rPr>
        <w:t>投标人有以下情形之一的，其投标作废标处理：</w:t>
      </w:r>
    </w:p>
    <w:p>
      <w:pPr>
        <w:autoSpaceDE w:val="0"/>
        <w:autoSpaceDN w:val="0"/>
        <w:adjustRightInd w:val="0"/>
        <w:spacing w:line="360" w:lineRule="auto"/>
        <w:ind w:firstLine="960" w:firstLineChars="400"/>
        <w:jc w:val="left"/>
        <w:rPr>
          <w:rFonts w:ascii="宋体" w:hAnsi="宋体" w:cs="宋体"/>
          <w:kern w:val="0"/>
          <w:sz w:val="24"/>
        </w:rPr>
      </w:pPr>
      <w:r>
        <w:rPr>
          <w:rFonts w:hint="eastAsia" w:ascii="宋体" w:hAnsi="宋体" w:cs="宋体"/>
          <w:kern w:val="0"/>
          <w:sz w:val="24"/>
        </w:rPr>
        <w:t>（</w:t>
      </w:r>
      <w:r>
        <w:rPr>
          <w:rFonts w:ascii="宋体" w:hAnsi="宋体" w:cs="TimesNewRomanPSMT"/>
          <w:kern w:val="0"/>
          <w:sz w:val="24"/>
        </w:rPr>
        <w:t>1</w:t>
      </w:r>
      <w:r>
        <w:rPr>
          <w:rFonts w:hint="eastAsia" w:ascii="宋体" w:hAnsi="宋体" w:cs="宋体"/>
          <w:kern w:val="0"/>
          <w:sz w:val="24"/>
        </w:rPr>
        <w:t>）第二章“投标人须知”第</w:t>
      </w:r>
      <w:r>
        <w:rPr>
          <w:rFonts w:ascii="宋体" w:hAnsi="宋体" w:cs="TimesNewRomanPSMT"/>
          <w:kern w:val="0"/>
          <w:sz w:val="24"/>
        </w:rPr>
        <w:t xml:space="preserve">1.4.3 </w:t>
      </w:r>
      <w:r>
        <w:rPr>
          <w:rFonts w:hint="eastAsia" w:ascii="宋体" w:hAnsi="宋体" w:cs="宋体"/>
          <w:kern w:val="0"/>
          <w:sz w:val="24"/>
        </w:rPr>
        <w:t>项规定的任何一种情形的；</w:t>
      </w:r>
    </w:p>
    <w:p>
      <w:pPr>
        <w:autoSpaceDE w:val="0"/>
        <w:autoSpaceDN w:val="0"/>
        <w:adjustRightInd w:val="0"/>
        <w:spacing w:line="360" w:lineRule="auto"/>
        <w:ind w:firstLine="960" w:firstLineChars="400"/>
        <w:jc w:val="left"/>
        <w:rPr>
          <w:rFonts w:ascii="宋体" w:hAnsi="宋体" w:cs="宋体"/>
          <w:kern w:val="0"/>
          <w:sz w:val="24"/>
        </w:rPr>
      </w:pPr>
      <w:r>
        <w:rPr>
          <w:rFonts w:hint="eastAsia" w:ascii="宋体" w:hAnsi="宋体" w:cs="宋体"/>
          <w:kern w:val="0"/>
          <w:sz w:val="24"/>
        </w:rPr>
        <w:t>（</w:t>
      </w:r>
      <w:r>
        <w:rPr>
          <w:rFonts w:ascii="宋体" w:hAnsi="宋体" w:cs="TimesNewRomanPSMT"/>
          <w:kern w:val="0"/>
          <w:sz w:val="24"/>
        </w:rPr>
        <w:t>2</w:t>
      </w:r>
      <w:r>
        <w:rPr>
          <w:rFonts w:hint="eastAsia" w:ascii="宋体" w:hAnsi="宋体" w:cs="宋体"/>
          <w:kern w:val="0"/>
          <w:sz w:val="24"/>
        </w:rPr>
        <w:t>）串通投标或弄虚作假或有其他违法行为的；</w:t>
      </w:r>
    </w:p>
    <w:p>
      <w:pPr>
        <w:autoSpaceDE w:val="0"/>
        <w:autoSpaceDN w:val="0"/>
        <w:adjustRightInd w:val="0"/>
        <w:spacing w:line="360" w:lineRule="auto"/>
        <w:ind w:firstLine="960" w:firstLineChars="400"/>
        <w:jc w:val="left"/>
        <w:rPr>
          <w:rFonts w:ascii="宋体" w:hAnsi="宋体" w:cs="宋体"/>
          <w:kern w:val="0"/>
          <w:sz w:val="24"/>
        </w:rPr>
      </w:pPr>
      <w:r>
        <w:rPr>
          <w:rFonts w:hint="eastAsia" w:ascii="宋体" w:hAnsi="宋体" w:cs="宋体"/>
          <w:kern w:val="0"/>
          <w:sz w:val="24"/>
        </w:rPr>
        <w:t>（</w:t>
      </w:r>
      <w:r>
        <w:rPr>
          <w:rFonts w:ascii="宋体" w:hAnsi="宋体" w:cs="TimesNewRomanPSMT"/>
          <w:kern w:val="0"/>
          <w:sz w:val="24"/>
        </w:rPr>
        <w:t>3</w:t>
      </w:r>
      <w:r>
        <w:rPr>
          <w:rFonts w:hint="eastAsia" w:ascii="宋体" w:hAnsi="宋体" w:cs="宋体"/>
          <w:kern w:val="0"/>
          <w:sz w:val="24"/>
        </w:rPr>
        <w:t>）不按评标委员会要求澄清、说明或补正的。</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3.1.3 </w:t>
      </w:r>
      <w:r>
        <w:rPr>
          <w:rFonts w:hint="eastAsia" w:ascii="宋体" w:hAnsi="宋体" w:cs="宋体"/>
          <w:kern w:val="0"/>
          <w:sz w:val="24"/>
        </w:rPr>
        <w:t>投标报价有算术错误的，评标委员会按以下原则对投标报价进行修正，修正的价格经投标人书面确认后具有约束力。投标人不接受修正价格的，其投标作废标处理。</w:t>
      </w:r>
    </w:p>
    <w:p>
      <w:pPr>
        <w:autoSpaceDE w:val="0"/>
        <w:autoSpaceDN w:val="0"/>
        <w:adjustRightInd w:val="0"/>
        <w:spacing w:line="360" w:lineRule="auto"/>
        <w:ind w:firstLine="960" w:firstLineChars="400"/>
        <w:jc w:val="left"/>
        <w:rPr>
          <w:rFonts w:ascii="宋体" w:hAnsi="宋体" w:cs="宋体"/>
          <w:kern w:val="0"/>
          <w:sz w:val="24"/>
        </w:rPr>
      </w:pPr>
      <w:r>
        <w:rPr>
          <w:rFonts w:hint="eastAsia" w:ascii="宋体" w:hAnsi="宋体" w:cs="宋体"/>
          <w:kern w:val="0"/>
          <w:sz w:val="24"/>
        </w:rPr>
        <w:t>（</w:t>
      </w:r>
      <w:r>
        <w:rPr>
          <w:rFonts w:ascii="宋体" w:hAnsi="宋体" w:cs="TimesNewRomanPSMT"/>
          <w:kern w:val="0"/>
          <w:sz w:val="24"/>
        </w:rPr>
        <w:t>1</w:t>
      </w:r>
      <w:r>
        <w:rPr>
          <w:rFonts w:hint="eastAsia" w:ascii="宋体" w:hAnsi="宋体" w:cs="宋体"/>
          <w:kern w:val="0"/>
          <w:sz w:val="24"/>
        </w:rPr>
        <w:t>）投标文件中的大写金额与小写金额不一致的，以大写金额为准；</w:t>
      </w:r>
    </w:p>
    <w:p>
      <w:pPr>
        <w:autoSpaceDE w:val="0"/>
        <w:autoSpaceDN w:val="0"/>
        <w:adjustRightInd w:val="0"/>
        <w:spacing w:line="360" w:lineRule="auto"/>
        <w:ind w:firstLine="960" w:firstLineChars="400"/>
        <w:jc w:val="left"/>
        <w:rPr>
          <w:rFonts w:ascii="宋体" w:hAnsi="宋体" w:cs="宋体"/>
          <w:kern w:val="0"/>
          <w:sz w:val="24"/>
        </w:rPr>
      </w:pPr>
      <w:r>
        <w:rPr>
          <w:rFonts w:hint="eastAsia" w:ascii="宋体" w:hAnsi="宋体" w:cs="宋体"/>
          <w:kern w:val="0"/>
          <w:sz w:val="24"/>
        </w:rPr>
        <w:t>（</w:t>
      </w:r>
      <w:r>
        <w:rPr>
          <w:rFonts w:ascii="宋体" w:hAnsi="宋体" w:cs="TimesNewRomanPSMT"/>
          <w:kern w:val="0"/>
          <w:sz w:val="24"/>
        </w:rPr>
        <w:t>2</w:t>
      </w:r>
      <w:r>
        <w:rPr>
          <w:rFonts w:hint="eastAsia" w:ascii="宋体" w:hAnsi="宋体" w:cs="宋体"/>
          <w:kern w:val="0"/>
          <w:sz w:val="24"/>
        </w:rPr>
        <w:t>）总价金额与依据单价计算出的结果不一致的，以单价金额为准修正总价，但单价金额小数点有明显错误的除外。</w:t>
      </w:r>
    </w:p>
    <w:p>
      <w:pPr>
        <w:autoSpaceDE w:val="0"/>
        <w:autoSpaceDN w:val="0"/>
        <w:adjustRightInd w:val="0"/>
        <w:spacing w:line="360" w:lineRule="auto"/>
        <w:jc w:val="left"/>
        <w:rPr>
          <w:rFonts w:ascii="宋体" w:hAnsi="宋体" w:cs="黑体"/>
          <w:kern w:val="0"/>
          <w:sz w:val="24"/>
        </w:rPr>
      </w:pPr>
      <w:r>
        <w:rPr>
          <w:rFonts w:ascii="宋体" w:hAnsi="宋体" w:cs="TimesNewRomanPSMT"/>
          <w:kern w:val="0"/>
          <w:sz w:val="24"/>
        </w:rPr>
        <w:t xml:space="preserve">3.2 </w:t>
      </w:r>
      <w:r>
        <w:rPr>
          <w:rFonts w:hint="eastAsia" w:ascii="宋体" w:hAnsi="宋体" w:cs="黑体"/>
          <w:kern w:val="0"/>
          <w:sz w:val="24"/>
        </w:rPr>
        <w:t>详细评审</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3.2.1 </w:t>
      </w:r>
      <w:r>
        <w:rPr>
          <w:rFonts w:hint="eastAsia" w:ascii="宋体" w:hAnsi="宋体" w:cs="宋体"/>
          <w:kern w:val="0"/>
          <w:sz w:val="24"/>
        </w:rPr>
        <w:t>评标委员会按本章第</w:t>
      </w:r>
      <w:r>
        <w:rPr>
          <w:rFonts w:ascii="宋体" w:hAnsi="宋体" w:cs="TimesNewRomanPSMT"/>
          <w:kern w:val="0"/>
          <w:sz w:val="24"/>
        </w:rPr>
        <w:t xml:space="preserve">2.2 </w:t>
      </w:r>
      <w:r>
        <w:rPr>
          <w:rFonts w:hint="eastAsia" w:ascii="宋体" w:hAnsi="宋体" w:cs="宋体"/>
          <w:kern w:val="0"/>
          <w:sz w:val="24"/>
        </w:rPr>
        <w:t>款规定的量化因素和分值进行打分，并计算出综合评估得分。</w:t>
      </w:r>
    </w:p>
    <w:p>
      <w:pPr>
        <w:autoSpaceDE w:val="0"/>
        <w:autoSpaceDN w:val="0"/>
        <w:adjustRightInd w:val="0"/>
        <w:spacing w:line="360" w:lineRule="auto"/>
        <w:jc w:val="left"/>
        <w:rPr>
          <w:rFonts w:ascii="宋体" w:hAnsi="宋体" w:cs="宋体"/>
          <w:kern w:val="0"/>
          <w:sz w:val="24"/>
        </w:rPr>
      </w:pPr>
      <w:r>
        <w:rPr>
          <w:rFonts w:hint="eastAsia" w:ascii="宋体" w:hAnsi="宋体" w:cs="宋体"/>
          <w:kern w:val="0"/>
          <w:sz w:val="24"/>
        </w:rPr>
        <w:t>（</w:t>
      </w:r>
      <w:r>
        <w:rPr>
          <w:rFonts w:ascii="宋体" w:hAnsi="宋体" w:cs="TimesNewRomanPSMT"/>
          <w:kern w:val="0"/>
          <w:sz w:val="24"/>
        </w:rPr>
        <w:t>1</w:t>
      </w:r>
      <w:r>
        <w:rPr>
          <w:rFonts w:hint="eastAsia" w:ascii="宋体" w:hAnsi="宋体" w:cs="宋体"/>
          <w:kern w:val="0"/>
          <w:sz w:val="24"/>
        </w:rPr>
        <w:t>）按本章第</w:t>
      </w:r>
      <w:r>
        <w:rPr>
          <w:rFonts w:ascii="宋体" w:hAnsi="宋体" w:cs="TimesNewRomanPSMT"/>
          <w:kern w:val="0"/>
          <w:sz w:val="24"/>
        </w:rPr>
        <w:t>2.2.4</w:t>
      </w:r>
      <w:r>
        <w:rPr>
          <w:rFonts w:hint="eastAsia" w:ascii="宋体" w:hAnsi="宋体" w:cs="宋体"/>
          <w:kern w:val="0"/>
          <w:sz w:val="24"/>
        </w:rPr>
        <w:t>（</w:t>
      </w:r>
      <w:r>
        <w:rPr>
          <w:rFonts w:ascii="宋体" w:hAnsi="宋体" w:cs="TimesNewRomanPSMT"/>
          <w:kern w:val="0"/>
          <w:sz w:val="24"/>
        </w:rPr>
        <w:t>1</w:t>
      </w:r>
      <w:r>
        <w:rPr>
          <w:rFonts w:hint="eastAsia" w:ascii="宋体" w:hAnsi="宋体" w:cs="宋体"/>
          <w:kern w:val="0"/>
          <w:sz w:val="24"/>
        </w:rPr>
        <w:t>）目规定的评审因素和分值对代建方案计算出得分</w:t>
      </w:r>
      <w:r>
        <w:rPr>
          <w:rFonts w:ascii="宋体" w:hAnsi="宋体" w:cs="TimesNewRomanPSMT"/>
          <w:kern w:val="0"/>
          <w:sz w:val="24"/>
        </w:rPr>
        <w:t>A</w:t>
      </w:r>
      <w:r>
        <w:rPr>
          <w:rFonts w:hint="eastAsia" w:ascii="宋体" w:hAnsi="宋体" w:cs="宋体"/>
          <w:kern w:val="0"/>
          <w:sz w:val="24"/>
        </w:rPr>
        <w:t>；</w:t>
      </w:r>
    </w:p>
    <w:p>
      <w:pPr>
        <w:autoSpaceDE w:val="0"/>
        <w:autoSpaceDN w:val="0"/>
        <w:adjustRightInd w:val="0"/>
        <w:spacing w:line="360" w:lineRule="auto"/>
        <w:jc w:val="left"/>
        <w:rPr>
          <w:rFonts w:ascii="宋体" w:hAnsi="宋体" w:cs="宋体"/>
          <w:kern w:val="0"/>
          <w:sz w:val="24"/>
        </w:rPr>
      </w:pPr>
      <w:r>
        <w:rPr>
          <w:rFonts w:hint="eastAsia" w:ascii="宋体" w:hAnsi="宋体" w:cs="宋体"/>
          <w:kern w:val="0"/>
          <w:sz w:val="24"/>
        </w:rPr>
        <w:t>（</w:t>
      </w:r>
      <w:r>
        <w:rPr>
          <w:rFonts w:hint="eastAsia" w:ascii="宋体" w:hAnsi="宋体" w:cs="TimesNewRomanPSMT"/>
          <w:kern w:val="0"/>
          <w:sz w:val="24"/>
        </w:rPr>
        <w:t>2</w:t>
      </w:r>
      <w:r>
        <w:rPr>
          <w:rFonts w:hint="eastAsia" w:ascii="宋体" w:hAnsi="宋体" w:cs="宋体"/>
          <w:kern w:val="0"/>
          <w:sz w:val="24"/>
        </w:rPr>
        <w:t>）按本章第</w:t>
      </w:r>
      <w:r>
        <w:rPr>
          <w:rFonts w:ascii="宋体" w:hAnsi="宋体" w:cs="TimesNewRomanPSMT"/>
          <w:kern w:val="0"/>
          <w:sz w:val="24"/>
        </w:rPr>
        <w:t>2.2.4</w:t>
      </w:r>
      <w:r>
        <w:rPr>
          <w:rFonts w:hint="eastAsia" w:ascii="宋体" w:hAnsi="宋体" w:cs="宋体"/>
          <w:kern w:val="0"/>
          <w:sz w:val="24"/>
        </w:rPr>
        <w:t>（</w:t>
      </w:r>
      <w:r>
        <w:rPr>
          <w:rFonts w:hint="eastAsia" w:ascii="宋体" w:hAnsi="宋体" w:cs="TimesNewRomanPSMT"/>
          <w:kern w:val="0"/>
          <w:sz w:val="24"/>
        </w:rPr>
        <w:t>2</w:t>
      </w:r>
      <w:r>
        <w:rPr>
          <w:rFonts w:hint="eastAsia" w:ascii="宋体" w:hAnsi="宋体" w:cs="宋体"/>
          <w:kern w:val="0"/>
          <w:sz w:val="24"/>
        </w:rPr>
        <w:t>）目规定的评审因素和分值对投标报价计算出得分</w:t>
      </w:r>
      <w:r>
        <w:rPr>
          <w:rFonts w:hint="eastAsia" w:ascii="宋体" w:hAnsi="宋体" w:cs="TimesNewRomanPSMT"/>
          <w:kern w:val="0"/>
          <w:sz w:val="24"/>
        </w:rPr>
        <w:t>B</w:t>
      </w:r>
      <w:r>
        <w:rPr>
          <w:rFonts w:hint="eastAsia" w:ascii="宋体" w:hAnsi="宋体" w:cs="宋体"/>
          <w:kern w:val="0"/>
          <w:sz w:val="24"/>
        </w:rPr>
        <w:t>；</w:t>
      </w:r>
    </w:p>
    <w:p>
      <w:pPr>
        <w:autoSpaceDE w:val="0"/>
        <w:autoSpaceDN w:val="0"/>
        <w:adjustRightInd w:val="0"/>
        <w:spacing w:line="360" w:lineRule="auto"/>
        <w:jc w:val="left"/>
        <w:rPr>
          <w:rFonts w:ascii="宋体" w:hAnsi="宋体" w:cs="宋体"/>
          <w:kern w:val="0"/>
          <w:sz w:val="24"/>
        </w:rPr>
      </w:pPr>
      <w:r>
        <w:rPr>
          <w:rFonts w:hint="eastAsia" w:ascii="宋体" w:hAnsi="宋体" w:cs="宋体"/>
          <w:kern w:val="0"/>
          <w:sz w:val="24"/>
        </w:rPr>
        <w:t>（</w:t>
      </w:r>
      <w:r>
        <w:rPr>
          <w:rFonts w:ascii="宋体" w:hAnsi="宋体" w:cs="TimesNewRomanPSMT"/>
          <w:kern w:val="0"/>
          <w:sz w:val="24"/>
        </w:rPr>
        <w:t>2</w:t>
      </w:r>
      <w:r>
        <w:rPr>
          <w:rFonts w:hint="eastAsia" w:ascii="宋体" w:hAnsi="宋体" w:cs="宋体"/>
          <w:kern w:val="0"/>
          <w:sz w:val="24"/>
        </w:rPr>
        <w:t>）按本章第</w:t>
      </w:r>
      <w:r>
        <w:rPr>
          <w:rFonts w:ascii="宋体" w:hAnsi="宋体" w:cs="TimesNewRomanPSMT"/>
          <w:kern w:val="0"/>
          <w:sz w:val="24"/>
        </w:rPr>
        <w:t>2.2.4</w:t>
      </w:r>
      <w:r>
        <w:rPr>
          <w:rFonts w:hint="eastAsia" w:ascii="宋体" w:hAnsi="宋体" w:cs="宋体"/>
          <w:kern w:val="0"/>
          <w:sz w:val="24"/>
        </w:rPr>
        <w:t>（</w:t>
      </w:r>
      <w:r>
        <w:rPr>
          <w:rFonts w:hint="eastAsia" w:ascii="宋体" w:hAnsi="宋体" w:cs="TimesNewRomanPSMT"/>
          <w:kern w:val="0"/>
          <w:sz w:val="24"/>
        </w:rPr>
        <w:t>3</w:t>
      </w:r>
      <w:r>
        <w:rPr>
          <w:rFonts w:hint="eastAsia" w:ascii="宋体" w:hAnsi="宋体" w:cs="宋体"/>
          <w:kern w:val="0"/>
          <w:sz w:val="24"/>
        </w:rPr>
        <w:t>）目规定的评审因素和分值对其他部分计算出得分</w:t>
      </w:r>
      <w:r>
        <w:rPr>
          <w:rFonts w:hint="eastAsia" w:ascii="宋体" w:hAnsi="宋体" w:cs="TimesNewRomanPSMT"/>
          <w:kern w:val="0"/>
          <w:sz w:val="24"/>
        </w:rPr>
        <w:t>C</w:t>
      </w:r>
      <w:r>
        <w:rPr>
          <w:rFonts w:hint="eastAsia" w:ascii="宋体" w:hAnsi="宋体" w:cs="宋体"/>
          <w:kern w:val="0"/>
          <w:sz w:val="24"/>
        </w:rPr>
        <w:t>；</w:t>
      </w:r>
    </w:p>
    <w:p>
      <w:pPr>
        <w:autoSpaceDE w:val="0"/>
        <w:autoSpaceDN w:val="0"/>
        <w:adjustRightInd w:val="0"/>
        <w:spacing w:line="360" w:lineRule="auto"/>
        <w:jc w:val="left"/>
        <w:rPr>
          <w:rFonts w:ascii="宋体" w:hAnsi="宋体" w:cs="宋体"/>
          <w:kern w:val="0"/>
          <w:sz w:val="24"/>
        </w:rPr>
      </w:pPr>
      <w:r>
        <w:rPr>
          <w:rFonts w:hint="eastAsia" w:ascii="宋体" w:hAnsi="宋体" w:cs="宋体"/>
          <w:kern w:val="0"/>
          <w:sz w:val="24"/>
        </w:rPr>
        <w:t>（</w:t>
      </w:r>
      <w:r>
        <w:rPr>
          <w:rFonts w:ascii="宋体" w:hAnsi="宋体" w:cs="TimesNewRomanPSMT"/>
          <w:kern w:val="0"/>
          <w:sz w:val="24"/>
        </w:rPr>
        <w:t>3</w:t>
      </w:r>
      <w:r>
        <w:rPr>
          <w:rFonts w:hint="eastAsia" w:ascii="宋体" w:hAnsi="宋体" w:cs="宋体"/>
          <w:kern w:val="0"/>
          <w:sz w:val="24"/>
        </w:rPr>
        <w:t>）按本章第</w:t>
      </w:r>
      <w:r>
        <w:rPr>
          <w:rFonts w:ascii="宋体" w:hAnsi="宋体" w:cs="TimesNewRomanPSMT"/>
          <w:kern w:val="0"/>
          <w:sz w:val="24"/>
        </w:rPr>
        <w:t>2.2.4</w:t>
      </w:r>
      <w:r>
        <w:rPr>
          <w:rFonts w:hint="eastAsia" w:ascii="宋体" w:hAnsi="宋体" w:cs="宋体"/>
          <w:kern w:val="0"/>
          <w:sz w:val="24"/>
        </w:rPr>
        <w:t>（</w:t>
      </w:r>
      <w:r>
        <w:rPr>
          <w:rFonts w:hint="eastAsia" w:ascii="宋体" w:hAnsi="宋体" w:cs="TimesNewRomanPSMT"/>
          <w:kern w:val="0"/>
          <w:sz w:val="24"/>
        </w:rPr>
        <w:t>4</w:t>
      </w:r>
      <w:r>
        <w:rPr>
          <w:rFonts w:hint="eastAsia" w:ascii="宋体" w:hAnsi="宋体" w:cs="宋体"/>
          <w:kern w:val="0"/>
          <w:sz w:val="24"/>
        </w:rPr>
        <w:t>）目规定的评审因素和分值对项目管理机构计算出得分</w:t>
      </w:r>
      <w:r>
        <w:rPr>
          <w:rFonts w:hint="eastAsia" w:ascii="宋体" w:hAnsi="宋体" w:cs="TimesNewRomanPSMT"/>
          <w:kern w:val="0"/>
          <w:sz w:val="24"/>
        </w:rPr>
        <w:t>D</w:t>
      </w:r>
      <w:r>
        <w:rPr>
          <w:rFonts w:hint="eastAsia" w:ascii="宋体" w:hAnsi="宋体" w:cs="宋体"/>
          <w:kern w:val="0"/>
          <w:sz w:val="24"/>
        </w:rPr>
        <w:t>；</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3.2.2 </w:t>
      </w:r>
      <w:r>
        <w:rPr>
          <w:rFonts w:hint="eastAsia" w:ascii="宋体" w:hAnsi="宋体" w:cs="宋体"/>
          <w:kern w:val="0"/>
          <w:sz w:val="24"/>
        </w:rPr>
        <w:t>评分分值计算保留小数点后两位，小数点后第三位“四舍五入”。</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3.2.3 </w:t>
      </w:r>
      <w:r>
        <w:rPr>
          <w:rFonts w:hint="eastAsia" w:ascii="宋体" w:hAnsi="宋体" w:cs="宋体"/>
          <w:kern w:val="0"/>
          <w:sz w:val="24"/>
        </w:rPr>
        <w:t>投标人得分</w:t>
      </w:r>
      <w:r>
        <w:rPr>
          <w:rFonts w:ascii="宋体" w:hAnsi="宋体" w:cs="TimesNewRomanPSMT"/>
          <w:kern w:val="0"/>
          <w:sz w:val="24"/>
        </w:rPr>
        <w:t>=A+B+C+</w:t>
      </w:r>
      <w:r>
        <w:rPr>
          <w:rFonts w:hint="eastAsia" w:ascii="宋体" w:hAnsi="宋体" w:cs="TimesNewRomanPSMT"/>
          <w:kern w:val="0"/>
          <w:sz w:val="24"/>
        </w:rPr>
        <w:t>D</w:t>
      </w:r>
      <w:r>
        <w:rPr>
          <w:rFonts w:hint="eastAsia" w:ascii="宋体" w:hAnsi="宋体" w:cs="宋体"/>
          <w:kern w:val="0"/>
          <w:sz w:val="24"/>
        </w:rPr>
        <w:t>。</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3.2.4</w:t>
      </w:r>
      <w:r>
        <w:rPr>
          <w:rFonts w:hint="eastAsia" w:ascii="宋体" w:hAnsi="宋体" w:cs="宋体"/>
          <w:kern w:val="0"/>
          <w:sz w:val="24"/>
        </w:rPr>
        <w:t>评标委员会发现投标人的报价不在投标控制价有效范围内，或者不符合招标文件规定报价要求，由评标委员会认定该投标人报价无效，其投标作废标处理。。</w:t>
      </w:r>
    </w:p>
    <w:p>
      <w:pPr>
        <w:autoSpaceDE w:val="0"/>
        <w:autoSpaceDN w:val="0"/>
        <w:adjustRightInd w:val="0"/>
        <w:spacing w:line="360" w:lineRule="auto"/>
        <w:jc w:val="left"/>
        <w:rPr>
          <w:rFonts w:ascii="宋体" w:hAnsi="宋体" w:cs="黑体"/>
          <w:kern w:val="0"/>
          <w:sz w:val="24"/>
        </w:rPr>
      </w:pPr>
      <w:r>
        <w:rPr>
          <w:rFonts w:ascii="宋体" w:hAnsi="宋体" w:cs="TimesNewRomanPSMT"/>
          <w:kern w:val="0"/>
          <w:sz w:val="24"/>
        </w:rPr>
        <w:t xml:space="preserve">3.3 </w:t>
      </w:r>
      <w:r>
        <w:rPr>
          <w:rFonts w:hint="eastAsia" w:ascii="宋体" w:hAnsi="宋体" w:cs="黑体"/>
          <w:kern w:val="0"/>
          <w:sz w:val="24"/>
        </w:rPr>
        <w:t>投标文件的澄清和补正</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3.3.1 </w:t>
      </w:r>
      <w:r>
        <w:rPr>
          <w:rFonts w:hint="eastAsia" w:ascii="宋体" w:hAnsi="宋体" w:cs="宋体"/>
          <w:kern w:val="0"/>
          <w:sz w:val="24"/>
        </w:rPr>
        <w:t>在评标过程中，评标委员会可以书面形式要求投标人对所提交投标文件中不明确的内容进行书面澄清或说明，或者对细微偏差进行补正。评标委员会不接受投标人主动提出的澄清、说明或补正。</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3.3.2 </w:t>
      </w:r>
      <w:r>
        <w:rPr>
          <w:rFonts w:hint="eastAsia" w:ascii="宋体" w:hAnsi="宋体" w:cs="宋体"/>
          <w:kern w:val="0"/>
          <w:sz w:val="24"/>
        </w:rPr>
        <w:t>澄清、说明和补正不得改变投标文件的实质性内容（算术性错误修正的除外）。投标人的书面澄清、说明和补正属于投标文件的组成部分。</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3.3.3 </w:t>
      </w:r>
      <w:r>
        <w:rPr>
          <w:rFonts w:hint="eastAsia" w:ascii="宋体" w:hAnsi="宋体" w:cs="宋体"/>
          <w:kern w:val="0"/>
          <w:sz w:val="24"/>
        </w:rPr>
        <w:t>评标委员会对投标人提交的澄清、说明或补正有疑问的，可以要求投标人进一步澄清、说明或补正，直至满足评标委员会的要求。</w:t>
      </w:r>
    </w:p>
    <w:p>
      <w:pPr>
        <w:autoSpaceDE w:val="0"/>
        <w:autoSpaceDN w:val="0"/>
        <w:adjustRightInd w:val="0"/>
        <w:spacing w:line="360" w:lineRule="auto"/>
        <w:jc w:val="left"/>
        <w:rPr>
          <w:rFonts w:ascii="宋体" w:hAnsi="宋体" w:cs="黑体"/>
          <w:kern w:val="0"/>
          <w:sz w:val="24"/>
        </w:rPr>
      </w:pPr>
      <w:r>
        <w:rPr>
          <w:rFonts w:ascii="宋体" w:hAnsi="宋体" w:cs="TimesNewRomanPSMT"/>
          <w:kern w:val="0"/>
          <w:sz w:val="24"/>
        </w:rPr>
        <w:t xml:space="preserve">3.4 </w:t>
      </w:r>
      <w:r>
        <w:rPr>
          <w:rFonts w:hint="eastAsia" w:ascii="宋体" w:hAnsi="宋体" w:cs="黑体"/>
          <w:kern w:val="0"/>
          <w:sz w:val="24"/>
        </w:rPr>
        <w:t>评标结果</w:t>
      </w:r>
    </w:p>
    <w:p>
      <w:pPr>
        <w:autoSpaceDE w:val="0"/>
        <w:autoSpaceDN w:val="0"/>
        <w:adjustRightInd w:val="0"/>
        <w:spacing w:line="360" w:lineRule="auto"/>
        <w:ind w:firstLine="480" w:firstLineChars="200"/>
        <w:jc w:val="left"/>
        <w:rPr>
          <w:rFonts w:ascii="宋体" w:hAnsi="宋体" w:cs="宋体"/>
          <w:kern w:val="0"/>
          <w:sz w:val="24"/>
        </w:rPr>
      </w:pPr>
      <w:r>
        <w:rPr>
          <w:rFonts w:ascii="宋体" w:hAnsi="宋体" w:cs="TimesNewRomanPSMT"/>
          <w:kern w:val="0"/>
          <w:sz w:val="24"/>
        </w:rPr>
        <w:t xml:space="preserve">3.4.1 </w:t>
      </w:r>
      <w:r>
        <w:rPr>
          <w:rFonts w:hint="eastAsia" w:ascii="宋体" w:hAnsi="宋体" w:cs="宋体"/>
          <w:kern w:val="0"/>
          <w:sz w:val="24"/>
        </w:rPr>
        <w:t>除第二章“投标人须知”前附表授权直接确定中标人外，评标委员会按照得分由高到低的顺序推荐中标候选人。</w:t>
      </w:r>
    </w:p>
    <w:p>
      <w:pPr>
        <w:autoSpaceDE w:val="0"/>
        <w:autoSpaceDN w:val="0"/>
        <w:adjustRightInd w:val="0"/>
        <w:spacing w:line="360" w:lineRule="auto"/>
        <w:ind w:firstLine="480" w:firstLineChars="200"/>
        <w:jc w:val="left"/>
        <w:rPr>
          <w:rFonts w:ascii="宋体" w:hAnsi="宋体" w:cs="TimesNewRomanPSMT"/>
          <w:kern w:val="0"/>
          <w:sz w:val="24"/>
        </w:rPr>
      </w:pPr>
      <w:r>
        <w:rPr>
          <w:rFonts w:ascii="宋体" w:hAnsi="宋体" w:cs="TimesNewRomanPSMT"/>
          <w:kern w:val="0"/>
          <w:sz w:val="24"/>
        </w:rPr>
        <w:t xml:space="preserve">3.4.2 </w:t>
      </w:r>
      <w:r>
        <w:rPr>
          <w:rFonts w:hint="eastAsia" w:ascii="宋体" w:hAnsi="宋体" w:cs="宋体"/>
          <w:kern w:val="0"/>
          <w:sz w:val="24"/>
        </w:rPr>
        <w:t>评标委员会完成评标后，应当向招标人提交书面评标报告。</w:t>
      </w:r>
    </w:p>
    <w:p>
      <w:pPr>
        <w:rPr>
          <w:rFonts w:ascii="宋体" w:hAnsi="宋体"/>
          <w:szCs w:val="21"/>
        </w:rPr>
      </w:pPr>
    </w:p>
    <w:p>
      <w:pPr>
        <w:rPr>
          <w:rFonts w:ascii="宋体" w:hAnsi="宋体"/>
          <w:szCs w:val="21"/>
        </w:rPr>
      </w:pPr>
      <w:r>
        <w:rPr>
          <w:rFonts w:hint="eastAsia" w:ascii="宋体" w:hAnsi="宋体"/>
          <w:szCs w:val="21"/>
        </w:rPr>
        <w:t>附件</w:t>
      </w:r>
      <w:r>
        <w:rPr>
          <w:rFonts w:hint="eastAsia" w:ascii="宋体" w:hAnsi="宋体"/>
          <w:b/>
          <w:szCs w:val="21"/>
        </w:rPr>
        <w:t>A</w:t>
      </w:r>
      <w:r>
        <w:rPr>
          <w:rFonts w:hint="eastAsia" w:ascii="宋体" w:hAnsi="宋体"/>
          <w:szCs w:val="21"/>
        </w:rPr>
        <w:t>：废标条件</w:t>
      </w:r>
    </w:p>
    <w:p>
      <w:pPr>
        <w:rPr>
          <w:rFonts w:ascii="宋体" w:hAnsi="宋体"/>
          <w:szCs w:val="21"/>
        </w:rPr>
      </w:pPr>
    </w:p>
    <w:p>
      <w:pPr>
        <w:spacing w:line="460" w:lineRule="exact"/>
        <w:rPr>
          <w:rFonts w:ascii="宋体" w:hAnsi="宋体"/>
          <w:b/>
          <w:szCs w:val="21"/>
        </w:rPr>
      </w:pPr>
      <w:r>
        <w:rPr>
          <w:rFonts w:hint="eastAsia" w:ascii="宋体" w:hAnsi="宋体"/>
          <w:b/>
          <w:szCs w:val="21"/>
        </w:rPr>
        <w:t>废标条件</w:t>
      </w:r>
    </w:p>
    <w:p>
      <w:pPr>
        <w:spacing w:line="460" w:lineRule="exact"/>
        <w:rPr>
          <w:rFonts w:ascii="宋体" w:hAnsi="宋体"/>
          <w:b/>
          <w:szCs w:val="21"/>
        </w:rPr>
      </w:pPr>
      <w:r>
        <w:rPr>
          <w:rFonts w:hint="eastAsia" w:ascii="宋体" w:hAnsi="宋体"/>
          <w:b/>
          <w:szCs w:val="21"/>
        </w:rPr>
        <w:t>A</w:t>
      </w:r>
      <w:r>
        <w:rPr>
          <w:rFonts w:ascii="宋体" w:hAnsi="宋体"/>
          <w:b/>
          <w:szCs w:val="21"/>
        </w:rPr>
        <w:t>0</w:t>
      </w:r>
      <w:r>
        <w:rPr>
          <w:rFonts w:hint="eastAsia" w:ascii="宋体" w:hAnsi="宋体"/>
          <w:b/>
          <w:szCs w:val="21"/>
        </w:rPr>
        <w:t>.总  则</w:t>
      </w:r>
    </w:p>
    <w:p>
      <w:pPr>
        <w:spacing w:line="460" w:lineRule="exact"/>
        <w:rPr>
          <w:rFonts w:ascii="宋体" w:hAnsi="宋体"/>
          <w:szCs w:val="21"/>
        </w:rPr>
      </w:pPr>
      <w:r>
        <w:rPr>
          <w:rFonts w:hint="eastAsia" w:ascii="宋体" w:hAnsi="宋体"/>
          <w:szCs w:val="21"/>
        </w:rPr>
        <w:t>本附件所集中列示的废标条件，是本章“评标办法”的组成部分，是对第二章“投标人须知”和本章正文部分所规定的废标条件的总结和补充，如果出现相互矛盾的情况，以第二章“投标人须知”和本章正文部分的规定为准。</w:t>
      </w:r>
    </w:p>
    <w:p>
      <w:pPr>
        <w:spacing w:line="460" w:lineRule="exact"/>
        <w:rPr>
          <w:rFonts w:ascii="宋体" w:hAnsi="宋体"/>
          <w:b/>
          <w:szCs w:val="21"/>
        </w:rPr>
      </w:pPr>
      <w:r>
        <w:rPr>
          <w:rFonts w:hint="eastAsia" w:ascii="宋体" w:hAnsi="宋体"/>
          <w:b/>
          <w:szCs w:val="21"/>
        </w:rPr>
        <w:t>A1</w:t>
      </w:r>
      <w:r>
        <w:rPr>
          <w:rFonts w:ascii="宋体" w:hAnsi="宋体"/>
          <w:b/>
          <w:szCs w:val="21"/>
        </w:rPr>
        <w:t>．废标条件</w:t>
      </w:r>
    </w:p>
    <w:p>
      <w:pPr>
        <w:spacing w:line="460" w:lineRule="exact"/>
        <w:rPr>
          <w:rFonts w:ascii="宋体" w:hAnsi="宋体"/>
          <w:szCs w:val="21"/>
        </w:rPr>
      </w:pPr>
      <w:r>
        <w:rPr>
          <w:rFonts w:hint="eastAsia" w:ascii="宋体" w:hAnsi="宋体"/>
          <w:szCs w:val="21"/>
        </w:rPr>
        <w:t>投标人或其投标文件有下列情形之一的，其投标作废标处理：</w:t>
      </w:r>
    </w:p>
    <w:p>
      <w:pPr>
        <w:spacing w:line="460" w:lineRule="exact"/>
        <w:rPr>
          <w:rFonts w:ascii="宋体" w:hAnsi="宋体"/>
          <w:szCs w:val="21"/>
        </w:rPr>
      </w:pPr>
      <w:r>
        <w:rPr>
          <w:rFonts w:hint="eastAsia" w:ascii="宋体" w:hAnsi="宋体"/>
          <w:szCs w:val="21"/>
        </w:rPr>
        <w:t>A1.1  有第二章“投标人须知”第</w:t>
      </w:r>
      <w:r>
        <w:rPr>
          <w:rFonts w:ascii="宋体" w:hAnsi="宋体"/>
          <w:szCs w:val="21"/>
        </w:rPr>
        <w:t>1.4.3</w:t>
      </w:r>
      <w:r>
        <w:rPr>
          <w:rFonts w:hint="eastAsia" w:ascii="宋体" w:hAnsi="宋体"/>
          <w:szCs w:val="21"/>
        </w:rPr>
        <w:t>项规定的任何一种情形的。</w:t>
      </w:r>
    </w:p>
    <w:p>
      <w:pPr>
        <w:spacing w:line="460" w:lineRule="exact"/>
        <w:rPr>
          <w:rFonts w:ascii="宋体" w:hAnsi="宋体"/>
          <w:szCs w:val="21"/>
        </w:rPr>
      </w:pPr>
      <w:r>
        <w:rPr>
          <w:rFonts w:hint="eastAsia" w:ascii="宋体" w:hAnsi="宋体"/>
          <w:szCs w:val="21"/>
        </w:rPr>
        <w:t>A1.2  有串通投标或弄虚作假或有其他违法行为的。</w:t>
      </w:r>
    </w:p>
    <w:p>
      <w:pPr>
        <w:spacing w:line="460" w:lineRule="exact"/>
        <w:rPr>
          <w:rFonts w:ascii="宋体" w:hAnsi="宋体"/>
          <w:szCs w:val="21"/>
        </w:rPr>
      </w:pPr>
      <w:r>
        <w:rPr>
          <w:rFonts w:hint="eastAsia" w:ascii="宋体" w:hAnsi="宋体"/>
          <w:szCs w:val="21"/>
        </w:rPr>
        <w:t>A1.3  不按评标委员会要求澄清、说明或补正的。</w:t>
      </w:r>
    </w:p>
    <w:p>
      <w:pPr>
        <w:spacing w:line="460" w:lineRule="exact"/>
        <w:rPr>
          <w:rFonts w:ascii="宋体" w:hAnsi="宋体"/>
          <w:szCs w:val="21"/>
        </w:rPr>
      </w:pPr>
      <w:r>
        <w:rPr>
          <w:rFonts w:hint="eastAsia" w:ascii="宋体" w:hAnsi="宋体"/>
          <w:szCs w:val="21"/>
        </w:rPr>
        <w:t>A1.4  在形式评审、资格评审(适用于未进行资格预审的)、响应性评审中，评标委员会认定投标人的投标不符合评标办法前附表中规定的任何一项评审标准的。</w:t>
      </w:r>
    </w:p>
    <w:p>
      <w:pPr>
        <w:spacing w:line="460" w:lineRule="exact"/>
        <w:rPr>
          <w:rFonts w:ascii="宋体" w:hAnsi="宋体"/>
          <w:szCs w:val="21"/>
        </w:rPr>
      </w:pPr>
      <w:r>
        <w:rPr>
          <w:rFonts w:hint="eastAsia" w:ascii="宋体" w:hAnsi="宋体"/>
          <w:szCs w:val="21"/>
        </w:rPr>
        <w:t>A1.5  当投标人资格预审申请文件的内容发生重大变化时，其在投标文件中更新的资料，未能通过资格评审的(适用于已进行资格预审的)。</w:t>
      </w:r>
    </w:p>
    <w:p>
      <w:pPr>
        <w:spacing w:line="460" w:lineRule="exact"/>
        <w:rPr>
          <w:rFonts w:ascii="宋体" w:hAnsi="宋体"/>
          <w:szCs w:val="21"/>
        </w:rPr>
      </w:pPr>
      <w:r>
        <w:rPr>
          <w:rFonts w:hint="eastAsia" w:ascii="宋体" w:hAnsi="宋体"/>
          <w:szCs w:val="21"/>
        </w:rPr>
        <w:t>A1.6  评标委员会认定投标人以低于成本报价竞标的。</w:t>
      </w:r>
    </w:p>
    <w:p>
      <w:pPr>
        <w:spacing w:line="460" w:lineRule="exact"/>
        <w:rPr>
          <w:rFonts w:ascii="宋体" w:hAnsi="宋体"/>
          <w:szCs w:val="21"/>
        </w:rPr>
      </w:pPr>
      <w:r>
        <w:rPr>
          <w:rFonts w:hint="eastAsia" w:ascii="宋体" w:hAnsi="宋体"/>
          <w:szCs w:val="21"/>
        </w:rPr>
        <w:t>A1.7  投标人未按第二章“投标人须知”前附表第</w:t>
      </w:r>
      <w:r>
        <w:rPr>
          <w:rFonts w:ascii="宋体" w:hAnsi="宋体"/>
          <w:szCs w:val="21"/>
        </w:rPr>
        <w:t>10</w:t>
      </w:r>
      <w:r>
        <w:rPr>
          <w:rFonts w:hint="eastAsia" w:ascii="宋体" w:hAnsi="宋体"/>
          <w:szCs w:val="21"/>
        </w:rPr>
        <w:t>款第6条规定出席开标会的。</w:t>
      </w:r>
    </w:p>
    <w:p>
      <w:pPr>
        <w:spacing w:line="460" w:lineRule="exact"/>
        <w:rPr>
          <w:rFonts w:ascii="宋体" w:hAnsi="宋体"/>
          <w:szCs w:val="21"/>
        </w:rPr>
      </w:pPr>
      <w:r>
        <w:rPr>
          <w:rFonts w:hint="eastAsia" w:ascii="宋体" w:hAnsi="宋体"/>
          <w:szCs w:val="21"/>
        </w:rPr>
        <w:t>A1.8  投标人未达到《关于印发三亚市政府投资项目代建制管理办法的通知》（三府[2017]320号）文件第八条代建单位应当同时具备的条件，按废标处理。</w:t>
      </w:r>
    </w:p>
    <w:p>
      <w:pPr>
        <w:spacing w:line="460" w:lineRule="exact"/>
        <w:rPr>
          <w:rFonts w:ascii="宋体" w:hAnsi="宋体"/>
          <w:szCs w:val="21"/>
        </w:rPr>
      </w:pPr>
      <w:r>
        <w:rPr>
          <w:rFonts w:hint="eastAsia" w:ascii="宋体" w:hAnsi="宋体"/>
          <w:szCs w:val="21"/>
        </w:rPr>
        <w:t>……</w:t>
      </w:r>
    </w:p>
    <w:p>
      <w:pPr>
        <w:spacing w:line="460" w:lineRule="exact"/>
        <w:rPr>
          <w:rFonts w:ascii="宋体" w:hAnsi="宋体"/>
          <w:szCs w:val="21"/>
        </w:rPr>
      </w:pPr>
      <w:r>
        <w:rPr>
          <w:rFonts w:hint="eastAsia" w:ascii="宋体" w:hAnsi="宋体"/>
          <w:szCs w:val="21"/>
        </w:rPr>
        <w:t>备注：如果工程所在地管理规定要求评标委员会对判定为废标的投标文件说明废标情况的，应增加“废标情况说明表”格式，废标情况说明应当对照招标文件规定的废标条件以及投标文件存在的具体问题。</w:t>
      </w:r>
    </w:p>
    <w:p>
      <w:pPr>
        <w:rPr>
          <w:rFonts w:ascii="宋体" w:hAnsi="宋体"/>
          <w:szCs w:val="21"/>
        </w:rPr>
        <w:sectPr>
          <w:headerReference r:id="rId3" w:type="default"/>
          <w:footerReference r:id="rId4" w:type="default"/>
          <w:footerReference r:id="rId5" w:type="even"/>
          <w:pgSz w:w="11906" w:h="16838"/>
          <w:pgMar w:top="1134" w:right="1134" w:bottom="1134" w:left="1134" w:header="851" w:footer="851" w:gutter="0"/>
          <w:pgNumType w:start="0"/>
          <w:cols w:space="720" w:num="1"/>
          <w:titlePg/>
          <w:docGrid w:type="lines" w:linePitch="312" w:charSpace="0"/>
        </w:sectPr>
      </w:pPr>
    </w:p>
    <w:p>
      <w:pPr>
        <w:pStyle w:val="2"/>
        <w:spacing w:line="240" w:lineRule="auto"/>
        <w:jc w:val="center"/>
        <w:rPr>
          <w:rFonts w:ascii="黑体" w:eastAsia="黑体"/>
          <w:b w:val="0"/>
          <w:kern w:val="0"/>
        </w:rPr>
      </w:pPr>
      <w:bookmarkStart w:id="21" w:name="_Toc265494930"/>
      <w:bookmarkStart w:id="22" w:name="_Toc26770"/>
      <w:bookmarkStart w:id="23" w:name="_Toc455588666"/>
      <w:bookmarkStart w:id="24" w:name="_Toc265133028"/>
      <w:bookmarkStart w:id="25" w:name="_Toc445216585"/>
      <w:bookmarkStart w:id="26" w:name="_Toc27670"/>
      <w:bookmarkStart w:id="27" w:name="_Toc41309512"/>
      <w:r>
        <w:rPr>
          <w:rFonts w:hint="eastAsia" w:ascii="黑体" w:eastAsia="黑体"/>
          <w:b w:val="0"/>
          <w:kern w:val="0"/>
        </w:rPr>
        <w:t>第四章 合同条款及格式</w:t>
      </w:r>
      <w:bookmarkEnd w:id="21"/>
      <w:bookmarkEnd w:id="22"/>
      <w:bookmarkEnd w:id="23"/>
      <w:bookmarkEnd w:id="24"/>
      <w:bookmarkEnd w:id="25"/>
      <w:bookmarkEnd w:id="26"/>
      <w:bookmarkEnd w:id="27"/>
    </w:p>
    <w:p>
      <w:pPr>
        <w:adjustRightInd w:val="0"/>
        <w:snapToGrid w:val="0"/>
        <w:spacing w:line="360" w:lineRule="auto"/>
        <w:jc w:val="center"/>
        <w:rPr>
          <w:rFonts w:eastAsia="黑体"/>
          <w:b/>
          <w:bCs/>
          <w:sz w:val="24"/>
        </w:rPr>
      </w:pPr>
      <w:r>
        <w:rPr>
          <w:rFonts w:hint="eastAsia" w:eastAsia="黑体"/>
          <w:b/>
          <w:bCs/>
          <w:sz w:val="24"/>
        </w:rPr>
        <w:t>（此只提供合同范本具体合同中标后由双方协商签订）</w:t>
      </w:r>
    </w:p>
    <w:p>
      <w:pPr>
        <w:pStyle w:val="7"/>
        <w:spacing w:line="400" w:lineRule="exact"/>
        <w:ind w:right="0" w:firstLine="0" w:firstLineChars="0"/>
        <w:rPr>
          <w:rFonts w:ascii="仿宋_GB2312" w:eastAsia="仿宋_GB2312"/>
          <w:b/>
          <w:sz w:val="24"/>
        </w:rPr>
      </w:pPr>
    </w:p>
    <w:p>
      <w:pPr>
        <w:pStyle w:val="7"/>
        <w:spacing w:line="400" w:lineRule="exact"/>
        <w:ind w:right="0" w:firstLine="0" w:firstLineChars="0"/>
        <w:rPr>
          <w:rFonts w:hAnsi="黑体"/>
          <w:b/>
          <w:sz w:val="24"/>
        </w:rPr>
      </w:pPr>
    </w:p>
    <w:p>
      <w:pPr>
        <w:pStyle w:val="7"/>
        <w:spacing w:line="400" w:lineRule="exact"/>
        <w:ind w:right="0" w:firstLine="0" w:firstLineChars="0"/>
        <w:rPr>
          <w:rFonts w:hAnsi="黑体"/>
          <w:b/>
          <w:sz w:val="24"/>
        </w:rPr>
      </w:pPr>
    </w:p>
    <w:p>
      <w:pPr>
        <w:pStyle w:val="7"/>
        <w:spacing w:line="400" w:lineRule="exact"/>
        <w:ind w:right="0" w:firstLine="0" w:firstLineChars="0"/>
        <w:rPr>
          <w:rFonts w:hAnsi="黑体"/>
          <w:b/>
          <w:sz w:val="24"/>
        </w:rPr>
      </w:pPr>
    </w:p>
    <w:p>
      <w:pPr>
        <w:pStyle w:val="7"/>
        <w:spacing w:line="400" w:lineRule="exact"/>
        <w:ind w:right="0" w:firstLine="0" w:firstLineChars="0"/>
        <w:rPr>
          <w:rFonts w:hAnsi="黑体"/>
          <w:b/>
          <w:sz w:val="24"/>
        </w:rPr>
      </w:pPr>
    </w:p>
    <w:p>
      <w:pPr>
        <w:pStyle w:val="7"/>
        <w:spacing w:line="400" w:lineRule="exact"/>
        <w:ind w:right="0" w:firstLine="0" w:firstLineChars="0"/>
        <w:rPr>
          <w:rFonts w:hAnsi="黑体"/>
          <w:b/>
          <w:sz w:val="24"/>
        </w:rPr>
      </w:pPr>
    </w:p>
    <w:p>
      <w:pPr>
        <w:jc w:val="center"/>
        <w:rPr>
          <w:rFonts w:ascii="仿宋" w:hAnsi="仿宋" w:eastAsia="仿宋"/>
          <w:b/>
          <w:sz w:val="32"/>
          <w:szCs w:val="32"/>
        </w:rPr>
      </w:pPr>
      <w:bookmarkStart w:id="28" w:name="_Toc41309115"/>
      <w:r>
        <w:rPr>
          <w:rFonts w:hint="eastAsia" w:ascii="仿宋" w:hAnsi="仿宋" w:eastAsia="仿宋"/>
          <w:b/>
          <w:sz w:val="32"/>
          <w:szCs w:val="32"/>
        </w:rPr>
        <w:t>三亚市政府投资建设</w:t>
      </w:r>
      <w:bookmarkEnd w:id="28"/>
    </w:p>
    <w:p>
      <w:pPr>
        <w:jc w:val="center"/>
        <w:rPr>
          <w:rFonts w:ascii="仿宋" w:hAnsi="仿宋" w:eastAsia="仿宋"/>
          <w:b/>
          <w:sz w:val="32"/>
          <w:szCs w:val="32"/>
        </w:rPr>
      </w:pPr>
      <w:bookmarkStart w:id="29" w:name="_Toc41309116"/>
      <w:r>
        <w:rPr>
          <w:rFonts w:hint="eastAsia" w:ascii="仿宋" w:hAnsi="仿宋" w:eastAsia="仿宋"/>
          <w:b/>
          <w:sz w:val="32"/>
          <w:szCs w:val="32"/>
        </w:rPr>
        <w:t>项目委托代建管理合同</w:t>
      </w:r>
      <w:bookmarkEnd w:id="29"/>
    </w:p>
    <w:p>
      <w:pPr>
        <w:pStyle w:val="7"/>
        <w:spacing w:line="400" w:lineRule="exact"/>
        <w:ind w:right="0" w:firstLine="0" w:firstLineChars="0"/>
        <w:jc w:val="center"/>
        <w:outlineLvl w:val="0"/>
        <w:rPr>
          <w:rFonts w:hAnsi="黑体"/>
          <w:b/>
          <w:bCs/>
          <w:sz w:val="24"/>
        </w:rPr>
      </w:pPr>
    </w:p>
    <w:p>
      <w:pPr>
        <w:pStyle w:val="7"/>
        <w:spacing w:line="400" w:lineRule="exact"/>
        <w:ind w:right="0" w:firstLine="0" w:firstLineChars="0"/>
        <w:jc w:val="center"/>
        <w:outlineLvl w:val="0"/>
        <w:rPr>
          <w:rFonts w:hAnsi="黑体"/>
          <w:b/>
          <w:bCs/>
          <w:sz w:val="24"/>
        </w:rPr>
      </w:pPr>
    </w:p>
    <w:p>
      <w:pPr>
        <w:pStyle w:val="7"/>
        <w:spacing w:line="400" w:lineRule="exact"/>
        <w:ind w:right="0" w:firstLine="0" w:firstLineChars="0"/>
        <w:jc w:val="center"/>
        <w:rPr>
          <w:rFonts w:ascii="仿宋_GB2312" w:eastAsia="仿宋_GB2312"/>
          <w:b/>
          <w:sz w:val="24"/>
        </w:rPr>
      </w:pPr>
      <w:r>
        <w:rPr>
          <w:rFonts w:hint="eastAsia" w:ascii="仿宋_GB2312" w:eastAsia="仿宋_GB2312"/>
          <w:b/>
          <w:sz w:val="24"/>
        </w:rPr>
        <w:t>备案编号：三发改备〔201 〕   号</w:t>
      </w:r>
    </w:p>
    <w:p>
      <w:pPr>
        <w:pStyle w:val="7"/>
        <w:spacing w:line="400" w:lineRule="exact"/>
        <w:ind w:right="0" w:firstLine="0" w:firstLineChars="0"/>
        <w:jc w:val="center"/>
        <w:rPr>
          <w:rFonts w:ascii="仿宋_GB2312" w:eastAsia="仿宋_GB2312"/>
          <w:b/>
          <w:sz w:val="24"/>
        </w:rPr>
      </w:pPr>
    </w:p>
    <w:p>
      <w:pPr>
        <w:pStyle w:val="7"/>
        <w:spacing w:line="400" w:lineRule="exact"/>
        <w:ind w:right="0" w:firstLine="0" w:firstLineChars="0"/>
        <w:jc w:val="center"/>
        <w:rPr>
          <w:rFonts w:ascii="仿宋_GB2312" w:eastAsia="仿宋_GB2312"/>
          <w:b/>
          <w:sz w:val="24"/>
        </w:rPr>
      </w:pPr>
    </w:p>
    <w:p>
      <w:pPr>
        <w:pStyle w:val="7"/>
        <w:spacing w:line="400" w:lineRule="exact"/>
        <w:ind w:right="0" w:firstLine="0" w:firstLineChars="0"/>
        <w:jc w:val="center"/>
        <w:rPr>
          <w:rFonts w:ascii="仿宋_GB2312" w:eastAsia="仿宋_GB2312"/>
          <w:b/>
          <w:sz w:val="24"/>
        </w:rPr>
      </w:pPr>
    </w:p>
    <w:p>
      <w:pPr>
        <w:pStyle w:val="7"/>
        <w:spacing w:line="400" w:lineRule="exact"/>
        <w:ind w:right="0" w:firstLine="0" w:firstLineChars="0"/>
        <w:jc w:val="center"/>
        <w:rPr>
          <w:rFonts w:ascii="仿宋_GB2312" w:eastAsia="仿宋_GB2312"/>
          <w:b/>
          <w:sz w:val="24"/>
        </w:rPr>
      </w:pPr>
    </w:p>
    <w:p>
      <w:pPr>
        <w:pStyle w:val="7"/>
        <w:spacing w:line="400" w:lineRule="exact"/>
        <w:ind w:right="0" w:firstLine="0" w:firstLineChars="0"/>
        <w:jc w:val="center"/>
        <w:rPr>
          <w:rFonts w:ascii="仿宋_GB2312" w:eastAsia="仿宋_GB2312"/>
          <w:b/>
          <w:sz w:val="24"/>
        </w:rPr>
      </w:pPr>
    </w:p>
    <w:p>
      <w:pPr>
        <w:pStyle w:val="7"/>
        <w:spacing w:line="400" w:lineRule="exact"/>
        <w:ind w:right="0" w:firstLine="0" w:firstLineChars="0"/>
        <w:jc w:val="center"/>
        <w:rPr>
          <w:rFonts w:ascii="仿宋_GB2312" w:eastAsia="仿宋_GB2312"/>
          <w:b/>
          <w:sz w:val="24"/>
        </w:rPr>
      </w:pPr>
    </w:p>
    <w:p>
      <w:pPr>
        <w:pStyle w:val="7"/>
        <w:spacing w:line="400" w:lineRule="exact"/>
        <w:ind w:right="0" w:firstLine="0" w:firstLineChars="0"/>
        <w:jc w:val="center"/>
        <w:rPr>
          <w:rFonts w:ascii="仿宋_GB2312" w:eastAsia="仿宋_GB2312"/>
          <w:b/>
          <w:sz w:val="24"/>
        </w:rPr>
      </w:pPr>
    </w:p>
    <w:p>
      <w:pPr>
        <w:pStyle w:val="7"/>
        <w:spacing w:line="400" w:lineRule="exact"/>
        <w:ind w:right="0" w:firstLine="0" w:firstLineChars="0"/>
        <w:jc w:val="center"/>
        <w:rPr>
          <w:rFonts w:ascii="仿宋_GB2312" w:eastAsia="仿宋_GB2312"/>
          <w:b/>
          <w:sz w:val="24"/>
        </w:rPr>
      </w:pPr>
    </w:p>
    <w:p>
      <w:pPr>
        <w:pStyle w:val="7"/>
        <w:spacing w:line="400" w:lineRule="exact"/>
        <w:ind w:right="0" w:firstLine="0" w:firstLineChars="0"/>
        <w:jc w:val="center"/>
        <w:rPr>
          <w:rFonts w:ascii="仿宋_GB2312" w:eastAsia="仿宋_GB2312"/>
          <w:b/>
          <w:sz w:val="24"/>
        </w:rPr>
      </w:pPr>
    </w:p>
    <w:p>
      <w:pPr>
        <w:pStyle w:val="7"/>
        <w:spacing w:line="400" w:lineRule="exact"/>
        <w:ind w:right="0" w:firstLine="0" w:firstLineChars="0"/>
        <w:jc w:val="center"/>
        <w:rPr>
          <w:rFonts w:ascii="仿宋_GB2312" w:eastAsia="仿宋_GB2312"/>
          <w:b/>
          <w:sz w:val="24"/>
        </w:rPr>
      </w:pPr>
    </w:p>
    <w:p>
      <w:pPr>
        <w:pStyle w:val="7"/>
        <w:spacing w:line="400" w:lineRule="exact"/>
        <w:ind w:right="0" w:firstLine="0" w:firstLineChars="0"/>
        <w:jc w:val="center"/>
        <w:rPr>
          <w:rFonts w:ascii="仿宋_GB2312" w:eastAsia="仿宋_GB2312"/>
          <w:b/>
          <w:sz w:val="24"/>
          <w:u w:val="single"/>
        </w:rPr>
      </w:pPr>
    </w:p>
    <w:p>
      <w:pPr>
        <w:pStyle w:val="7"/>
        <w:spacing w:line="400" w:lineRule="exact"/>
        <w:ind w:right="0" w:firstLine="0" w:firstLineChars="0"/>
        <w:jc w:val="center"/>
        <w:rPr>
          <w:rFonts w:ascii="仿宋_GB2312" w:eastAsia="仿宋_GB2312"/>
          <w:b/>
          <w:sz w:val="24"/>
        </w:rPr>
      </w:pPr>
    </w:p>
    <w:p>
      <w:pPr>
        <w:pStyle w:val="7"/>
        <w:spacing w:line="400" w:lineRule="exact"/>
        <w:ind w:right="0" w:firstLine="0" w:firstLineChars="0"/>
        <w:jc w:val="center"/>
        <w:rPr>
          <w:rFonts w:ascii="仿宋_GB2312" w:eastAsia="仿宋_GB2312"/>
          <w:b/>
          <w:sz w:val="24"/>
        </w:rPr>
      </w:pPr>
      <w:r>
        <w:rPr>
          <w:rFonts w:hint="eastAsia" w:ascii="仿宋_GB2312" w:eastAsia="仿宋_GB2312"/>
          <w:b/>
          <w:sz w:val="24"/>
        </w:rPr>
        <w:t>三亚市发展和改革委员会制定</w:t>
      </w:r>
    </w:p>
    <w:p>
      <w:pPr>
        <w:pStyle w:val="7"/>
        <w:spacing w:line="400" w:lineRule="exact"/>
        <w:ind w:right="0" w:firstLine="0" w:firstLineChars="0"/>
        <w:jc w:val="center"/>
        <w:rPr>
          <w:rFonts w:ascii="仿宋_GB2312" w:hAnsi="宋体" w:eastAsia="仿宋_GB2312" w:cs="Lucida Sans Unicode"/>
          <w:b/>
          <w:sz w:val="24"/>
        </w:rPr>
      </w:pPr>
    </w:p>
    <w:p>
      <w:pPr>
        <w:pStyle w:val="7"/>
        <w:spacing w:line="400" w:lineRule="exact"/>
        <w:ind w:right="0" w:firstLine="0" w:firstLineChars="0"/>
        <w:jc w:val="center"/>
        <w:rPr>
          <w:rFonts w:ascii="仿宋_GB2312" w:hAnsi="宋体" w:eastAsia="仿宋_GB2312" w:cs="Lucida Sans Unicode"/>
          <w:b/>
          <w:sz w:val="24"/>
        </w:rPr>
      </w:pPr>
    </w:p>
    <w:p>
      <w:pPr>
        <w:pStyle w:val="7"/>
        <w:spacing w:line="400" w:lineRule="exact"/>
        <w:ind w:right="0" w:firstLine="0" w:firstLineChars="0"/>
        <w:jc w:val="center"/>
        <w:rPr>
          <w:rFonts w:ascii="仿宋_GB2312" w:hAnsi="宋体" w:eastAsia="仿宋_GB2312" w:cs="Lucida Sans Unicode"/>
          <w:b/>
          <w:sz w:val="24"/>
        </w:rPr>
      </w:pPr>
    </w:p>
    <w:p>
      <w:pPr>
        <w:pStyle w:val="7"/>
        <w:spacing w:line="400" w:lineRule="exact"/>
        <w:ind w:right="0" w:firstLine="0" w:firstLineChars="0"/>
        <w:jc w:val="center"/>
        <w:rPr>
          <w:rFonts w:ascii="仿宋_GB2312" w:hAnsi="宋体" w:eastAsia="仿宋_GB2312" w:cs="Lucida Sans Unicode"/>
          <w:b/>
          <w:sz w:val="24"/>
        </w:rPr>
      </w:pPr>
    </w:p>
    <w:p>
      <w:pPr>
        <w:pStyle w:val="7"/>
        <w:spacing w:line="400" w:lineRule="exact"/>
        <w:ind w:right="0" w:firstLine="0" w:firstLineChars="0"/>
        <w:jc w:val="center"/>
        <w:rPr>
          <w:rFonts w:ascii="仿宋_GB2312" w:hAnsi="宋体" w:eastAsia="仿宋_GB2312" w:cs="Lucida Sans Unicode"/>
          <w:b/>
          <w:sz w:val="24"/>
        </w:rPr>
      </w:pPr>
    </w:p>
    <w:p>
      <w:pPr>
        <w:pStyle w:val="7"/>
        <w:spacing w:line="400" w:lineRule="exact"/>
        <w:ind w:right="0" w:firstLine="0" w:firstLineChars="0"/>
        <w:jc w:val="center"/>
        <w:rPr>
          <w:rFonts w:ascii="仿宋_GB2312" w:hAnsi="宋体" w:eastAsia="仿宋_GB2312" w:cs="Lucida Sans Unicode"/>
          <w:b/>
          <w:sz w:val="24"/>
        </w:rPr>
      </w:pPr>
    </w:p>
    <w:p>
      <w:pPr>
        <w:pStyle w:val="7"/>
        <w:spacing w:line="400" w:lineRule="exact"/>
        <w:ind w:right="0" w:firstLine="0" w:firstLineChars="0"/>
        <w:jc w:val="center"/>
        <w:rPr>
          <w:rFonts w:ascii="仿宋_GB2312" w:hAnsi="宋体" w:eastAsia="仿宋_GB2312" w:cs="Lucida Sans Unicode"/>
          <w:b/>
          <w:sz w:val="24"/>
        </w:rPr>
      </w:pPr>
    </w:p>
    <w:p>
      <w:pPr>
        <w:pStyle w:val="7"/>
        <w:spacing w:line="400" w:lineRule="exact"/>
        <w:ind w:right="0" w:firstLine="0" w:firstLineChars="0"/>
        <w:jc w:val="center"/>
        <w:rPr>
          <w:rFonts w:ascii="仿宋_GB2312" w:hAnsi="黑体" w:eastAsia="仿宋_GB2312"/>
          <w:sz w:val="24"/>
        </w:rPr>
      </w:pPr>
      <w:r>
        <w:rPr>
          <w:rFonts w:hint="eastAsia" w:ascii="仿宋_GB2312" w:hAnsi="黑体" w:eastAsia="仿宋_GB2312"/>
          <w:sz w:val="24"/>
        </w:rPr>
        <w:t>第一部分 委托代建合同协议书</w:t>
      </w:r>
    </w:p>
    <w:p>
      <w:pPr>
        <w:pStyle w:val="7"/>
        <w:spacing w:line="400" w:lineRule="exact"/>
        <w:ind w:right="0" w:firstLine="0" w:firstLineChars="0"/>
        <w:jc w:val="center"/>
        <w:rPr>
          <w:rFonts w:ascii="仿宋_GB2312" w:eastAsia="仿宋_GB2312"/>
          <w:b/>
          <w:sz w:val="24"/>
        </w:rPr>
      </w:pP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委托人（甲方）：</w:t>
      </w:r>
      <w:r>
        <w:rPr>
          <w:rFonts w:hint="eastAsia" w:ascii="仿宋_GB2312" w:hAnsi="宋体" w:eastAsia="仿宋_GB2312"/>
          <w:sz w:val="24"/>
          <w:u w:val="single"/>
        </w:rPr>
        <w:t xml:space="preserve">                               </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代建人（乙方）：</w:t>
      </w:r>
      <w:r>
        <w:rPr>
          <w:rFonts w:hint="eastAsia" w:ascii="仿宋_GB2312" w:hAnsi="宋体" w:eastAsia="仿宋_GB2312"/>
          <w:sz w:val="24"/>
          <w:u w:val="single"/>
        </w:rPr>
        <w:t xml:space="preserve">                               </w:t>
      </w:r>
    </w:p>
    <w:p>
      <w:pPr>
        <w:pStyle w:val="7"/>
        <w:spacing w:line="400" w:lineRule="exact"/>
        <w:ind w:right="0" w:firstLine="480"/>
        <w:rPr>
          <w:rFonts w:ascii="仿宋_GB2312" w:hAnsi="宋体" w:eastAsia="仿宋_GB2312"/>
          <w:sz w:val="24"/>
        </w:rPr>
      </w:pPr>
      <w:r>
        <w:rPr>
          <w:rFonts w:hint="eastAsia" w:ascii="仿宋_GB2312" w:eastAsia="仿宋_GB2312"/>
          <w:sz w:val="24"/>
        </w:rPr>
        <w:t>为保证政府投资建设代建项目的顺利实施，充分发挥政府投资效益，严格控制项目投资，根据《中华人民共和国合同法》、《海南省人民政府印发&lt;政府投资项目代建制管理办法&gt;的通知》、《三亚市政府投资建设项目代建制管理办法》等相关规定，</w:t>
      </w:r>
      <w:r>
        <w:rPr>
          <w:rFonts w:hint="eastAsia" w:ascii="仿宋_GB2312" w:hAnsi="Times New Roman" w:eastAsia="仿宋_GB2312"/>
          <w:sz w:val="24"/>
        </w:rPr>
        <w:t>遵循平等、自愿、公平和诚实信用的原则，</w:t>
      </w:r>
      <w:r>
        <w:rPr>
          <w:rFonts w:hint="eastAsia" w:ascii="仿宋_GB2312" w:eastAsia="仿宋_GB2312"/>
          <w:sz w:val="24"/>
        </w:rPr>
        <w:t>甲乙</w:t>
      </w:r>
      <w:r>
        <w:rPr>
          <w:rFonts w:hint="eastAsia" w:ascii="仿宋_GB2312" w:hAnsi="Times New Roman" w:eastAsia="仿宋_GB2312"/>
          <w:sz w:val="24"/>
        </w:rPr>
        <w:t>双方就</w:t>
      </w:r>
      <w:r>
        <w:rPr>
          <w:rFonts w:hint="eastAsia" w:ascii="仿宋_GB2312" w:hAnsi="Times New Roman" w:eastAsia="仿宋_GB2312"/>
          <w:sz w:val="24"/>
          <w:u w:val="single"/>
        </w:rPr>
        <w:t xml:space="preserve">                       </w:t>
      </w:r>
      <w:r>
        <w:rPr>
          <w:rFonts w:hint="eastAsia" w:ascii="仿宋_GB2312" w:hAnsi="Times New Roman" w:eastAsia="仿宋_GB2312"/>
          <w:sz w:val="24"/>
        </w:rPr>
        <w:t>项目代建及有关事项协商一致，共同达成如下协议：</w:t>
      </w:r>
    </w:p>
    <w:p>
      <w:pPr>
        <w:pStyle w:val="7"/>
        <w:spacing w:line="400" w:lineRule="exact"/>
        <w:ind w:right="0" w:firstLine="480"/>
        <w:rPr>
          <w:rFonts w:ascii="仿宋_GB2312" w:hAnsi="黑体" w:eastAsia="仿宋_GB2312"/>
          <w:bCs/>
          <w:sz w:val="24"/>
        </w:rPr>
      </w:pPr>
      <w:r>
        <w:rPr>
          <w:rFonts w:hint="eastAsia" w:ascii="仿宋_GB2312" w:hAnsi="黑体" w:eastAsia="仿宋_GB2312"/>
          <w:bCs/>
          <w:sz w:val="24"/>
        </w:rPr>
        <w:t>一、项目概况</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项目名称：</w:t>
      </w:r>
      <w:r>
        <w:rPr>
          <w:rFonts w:hint="eastAsia" w:ascii="仿宋_GB2312" w:hAnsi="宋体" w:eastAsia="仿宋_GB2312"/>
          <w:sz w:val="24"/>
          <w:u w:val="single"/>
        </w:rPr>
        <w:t xml:space="preserve">                                      </w:t>
      </w:r>
      <w:r>
        <w:rPr>
          <w:rFonts w:hint="eastAsia" w:ascii="仿宋_GB2312" w:hAnsi="宋体" w:eastAsia="仿宋_GB2312"/>
          <w:sz w:val="24"/>
        </w:rPr>
        <w:t>。</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项目概算总投资：</w:t>
      </w:r>
      <w:r>
        <w:rPr>
          <w:rFonts w:hint="eastAsia" w:ascii="仿宋_GB2312" w:hAnsi="宋体" w:eastAsia="仿宋_GB2312"/>
          <w:sz w:val="24"/>
          <w:u w:val="single"/>
        </w:rPr>
        <w:t xml:space="preserve">      </w:t>
      </w:r>
      <w:r>
        <w:rPr>
          <w:rFonts w:hint="eastAsia" w:ascii="仿宋_GB2312" w:hAnsi="宋体" w:eastAsia="仿宋_GB2312"/>
          <w:sz w:val="24"/>
        </w:rPr>
        <w:t>（万元）,其中建安费</w:t>
      </w:r>
      <w:r>
        <w:rPr>
          <w:rFonts w:hint="eastAsia" w:ascii="仿宋_GB2312" w:hAnsi="宋体" w:eastAsia="仿宋_GB2312"/>
          <w:sz w:val="24"/>
          <w:u w:val="single"/>
        </w:rPr>
        <w:t xml:space="preserve">    </w:t>
      </w:r>
      <w:r>
        <w:rPr>
          <w:rFonts w:hint="eastAsia" w:ascii="仿宋_GB2312" w:hAnsi="宋体" w:eastAsia="仿宋_GB2312"/>
          <w:sz w:val="24"/>
        </w:rPr>
        <w:t>（万元）</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建设地点：</w:t>
      </w:r>
      <w:r>
        <w:rPr>
          <w:rFonts w:hint="eastAsia" w:ascii="仿宋_GB2312" w:hAnsi="宋体" w:eastAsia="仿宋_GB2312"/>
          <w:sz w:val="24"/>
          <w:u w:val="single"/>
        </w:rPr>
        <w:t xml:space="preserve">                                      </w:t>
      </w:r>
      <w:r>
        <w:rPr>
          <w:rFonts w:hint="eastAsia" w:ascii="仿宋_GB2312" w:hAnsi="宋体" w:eastAsia="仿宋_GB2312"/>
          <w:sz w:val="24"/>
        </w:rPr>
        <w:t>。</w:t>
      </w:r>
    </w:p>
    <w:p>
      <w:pPr>
        <w:spacing w:line="400" w:lineRule="exact"/>
        <w:ind w:firstLine="470" w:firstLineChars="196"/>
        <w:rPr>
          <w:rFonts w:ascii="仿宋_GB2312" w:eastAsia="仿宋_GB2312"/>
          <w:sz w:val="24"/>
          <w:u w:val="single"/>
        </w:rPr>
      </w:pPr>
      <w:r>
        <w:rPr>
          <w:rFonts w:hint="eastAsia" w:ascii="仿宋_GB2312" w:eastAsia="仿宋_GB2312"/>
          <w:bCs/>
          <w:sz w:val="24"/>
        </w:rPr>
        <w:t>立项批准文号：</w:t>
      </w:r>
      <w:r>
        <w:rPr>
          <w:rFonts w:hint="eastAsia" w:ascii="仿宋_GB2312" w:eastAsia="仿宋_GB2312"/>
          <w:sz w:val="24"/>
          <w:u w:val="single"/>
        </w:rPr>
        <w:t xml:space="preserve">            </w:t>
      </w:r>
      <w:r>
        <w:rPr>
          <w:rFonts w:hint="eastAsia" w:ascii="仿宋_GB2312" w:eastAsia="仿宋_GB2312"/>
          <w:sz w:val="24"/>
        </w:rPr>
        <w:t>。</w:t>
      </w:r>
    </w:p>
    <w:p>
      <w:pPr>
        <w:spacing w:line="400" w:lineRule="exact"/>
        <w:ind w:firstLine="470" w:firstLineChars="196"/>
        <w:rPr>
          <w:rFonts w:ascii="仿宋_GB2312" w:eastAsia="仿宋_GB2312"/>
          <w:bCs/>
          <w:sz w:val="24"/>
        </w:rPr>
      </w:pPr>
      <w:r>
        <w:rPr>
          <w:rFonts w:hint="eastAsia" w:ascii="仿宋_GB2312" w:eastAsia="仿宋_GB2312"/>
          <w:bCs/>
          <w:sz w:val="24"/>
        </w:rPr>
        <w:t>资金来源：</w:t>
      </w:r>
      <w:r>
        <w:rPr>
          <w:rFonts w:hint="eastAsia" w:ascii="仿宋_GB2312" w:eastAsia="仿宋_GB2312"/>
          <w:sz w:val="24"/>
          <w:u w:val="single"/>
        </w:rPr>
        <w:t xml:space="preserve">        </w:t>
      </w:r>
      <w:r>
        <w:rPr>
          <w:rFonts w:hint="eastAsia" w:ascii="仿宋_GB2312" w:eastAsia="仿宋_GB2312"/>
          <w:sz w:val="24"/>
        </w:rPr>
        <w:t>。</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建设规模和内容：</w:t>
      </w:r>
      <w:r>
        <w:rPr>
          <w:rFonts w:hint="eastAsia" w:ascii="仿宋_GB2312" w:hAnsi="宋体" w:eastAsia="仿宋_GB2312"/>
          <w:sz w:val="24"/>
          <w:u w:val="single"/>
        </w:rPr>
        <w:t xml:space="preserve">                                </w:t>
      </w:r>
      <w:r>
        <w:rPr>
          <w:rFonts w:hint="eastAsia" w:ascii="仿宋_GB2312" w:hAnsi="宋体" w:eastAsia="仿宋_GB2312"/>
          <w:sz w:val="24"/>
        </w:rPr>
        <w:t>。</w:t>
      </w:r>
    </w:p>
    <w:p>
      <w:pPr>
        <w:pStyle w:val="7"/>
        <w:spacing w:line="400" w:lineRule="exact"/>
        <w:ind w:right="0" w:firstLine="480"/>
        <w:rPr>
          <w:rFonts w:ascii="仿宋_GB2312" w:hAnsi="黑体" w:eastAsia="仿宋_GB2312"/>
          <w:bCs/>
          <w:sz w:val="24"/>
        </w:rPr>
      </w:pPr>
      <w:r>
        <w:rPr>
          <w:rFonts w:hint="eastAsia" w:ascii="仿宋_GB2312" w:hAnsi="黑体" w:eastAsia="仿宋_GB2312"/>
          <w:bCs/>
          <w:sz w:val="24"/>
        </w:rPr>
        <w:t>二、委托代建范围和内容</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政府投资项目建设管理推行代建单位（即本合同代建人）总揽制，代建人在项目建设过程中履行项目业主（即本合同委托人）单位职责，负责项目实施全过程管理，承担项目前期和施工代建管理工作，组织办理规划选址、可研、勘察设计、概算、财政预算评审、施工全过程管理、竣工验收、工程结（决）算和项目移交等相关工作，配合项目业主进行征地拆迁，负责与市政府各主管部门进行沟通，协调项目参建各方的关系，以及按照本合同其他约定，对工程的投资、工期、质量、安全管理等承担责任。代建管理的工作范围和内容详见第二部分通用合同条款。</w:t>
      </w:r>
    </w:p>
    <w:p>
      <w:pPr>
        <w:pStyle w:val="7"/>
        <w:spacing w:line="400" w:lineRule="exact"/>
        <w:ind w:right="0" w:firstLine="480"/>
        <w:rPr>
          <w:rFonts w:ascii="仿宋_GB2312" w:hAnsi="黑体" w:eastAsia="仿宋_GB2312"/>
          <w:bCs/>
          <w:sz w:val="24"/>
        </w:rPr>
      </w:pPr>
      <w:r>
        <w:rPr>
          <w:rFonts w:hint="eastAsia" w:ascii="仿宋_GB2312" w:hAnsi="黑体" w:eastAsia="仿宋_GB2312"/>
          <w:bCs/>
          <w:sz w:val="24"/>
        </w:rPr>
        <w:t>三、项目代建管理目标</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1、代建项目的概算投资控制金额：</w:t>
      </w:r>
      <w:r>
        <w:rPr>
          <w:rFonts w:hint="eastAsia" w:ascii="仿宋_GB2312" w:hAnsi="宋体" w:eastAsia="仿宋_GB2312"/>
          <w:sz w:val="24"/>
          <w:u w:val="single"/>
        </w:rPr>
        <w:t xml:space="preserve">         </w:t>
      </w:r>
      <w:r>
        <w:rPr>
          <w:rFonts w:hint="eastAsia" w:ascii="仿宋_GB2312" w:hAnsi="宋体" w:eastAsia="仿宋_GB2312"/>
          <w:sz w:val="24"/>
        </w:rPr>
        <w:t>（万元），代建人应遵守《三亚市政府投资建设项目代建制管理办法》中有关工程代建效益考核的规定。</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2、工程质量标准：</w:t>
      </w:r>
      <w:r>
        <w:rPr>
          <w:rFonts w:hint="eastAsia" w:ascii="仿宋_GB2312" w:hAnsi="宋体" w:eastAsia="仿宋_GB2312"/>
          <w:sz w:val="24"/>
          <w:u w:val="single"/>
        </w:rPr>
        <w:t xml:space="preserve">           </w:t>
      </w:r>
      <w:r>
        <w:rPr>
          <w:rFonts w:hint="eastAsia" w:ascii="仿宋_GB2312" w:hAnsi="宋体" w:eastAsia="仿宋_GB2312"/>
          <w:sz w:val="24"/>
        </w:rPr>
        <w:t>。</w:t>
      </w:r>
    </w:p>
    <w:p>
      <w:pPr>
        <w:pStyle w:val="7"/>
        <w:spacing w:line="400" w:lineRule="exact"/>
        <w:ind w:right="0" w:firstLine="480"/>
        <w:rPr>
          <w:rFonts w:ascii="仿宋_GB2312" w:hAnsi="宋体" w:eastAsia="仿宋_GB2312"/>
          <w:sz w:val="24"/>
          <w:u w:val="single"/>
        </w:rPr>
      </w:pPr>
      <w:r>
        <w:rPr>
          <w:rFonts w:hint="eastAsia" w:ascii="仿宋_GB2312" w:hAnsi="宋体" w:eastAsia="仿宋_GB2312"/>
          <w:sz w:val="24"/>
        </w:rPr>
        <w:t>3、工期：</w:t>
      </w:r>
      <w:r>
        <w:rPr>
          <w:rFonts w:hint="eastAsia" w:ascii="仿宋_GB2312" w:hAnsi="宋体" w:eastAsia="仿宋_GB2312"/>
          <w:sz w:val="24"/>
          <w:u w:val="single"/>
        </w:rPr>
        <w:t xml:space="preserve">                                </w:t>
      </w:r>
      <w:r>
        <w:rPr>
          <w:rFonts w:hint="eastAsia" w:ascii="仿宋_GB2312" w:hAnsi="宋体" w:eastAsia="仿宋_GB2312"/>
          <w:sz w:val="24"/>
        </w:rPr>
        <w:t>。</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4、安全管理：无安全生产事故发生。</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5、廉政教育管理：无职务犯罪发生。</w:t>
      </w:r>
    </w:p>
    <w:p>
      <w:pPr>
        <w:pStyle w:val="7"/>
        <w:spacing w:line="400" w:lineRule="exact"/>
        <w:ind w:right="0" w:firstLine="480"/>
        <w:rPr>
          <w:rFonts w:ascii="仿宋_GB2312" w:hAnsi="黑体" w:eastAsia="仿宋_GB2312"/>
          <w:bCs/>
          <w:sz w:val="24"/>
        </w:rPr>
      </w:pPr>
      <w:r>
        <w:rPr>
          <w:rFonts w:hint="eastAsia" w:ascii="仿宋_GB2312" w:hAnsi="黑体" w:eastAsia="仿宋_GB2312"/>
          <w:bCs/>
          <w:sz w:val="24"/>
        </w:rPr>
        <w:t>四、代建服务期</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自合同签订之日起到竣工验收完成获得《建筑工程竣工验收备案证》，并在质量保修期结束后结束。</w:t>
      </w:r>
    </w:p>
    <w:p>
      <w:pPr>
        <w:pStyle w:val="7"/>
        <w:spacing w:line="400" w:lineRule="exact"/>
        <w:ind w:right="0" w:firstLine="480"/>
        <w:rPr>
          <w:rFonts w:ascii="仿宋_GB2312" w:hAnsi="黑体" w:eastAsia="仿宋_GB2312"/>
          <w:bCs/>
          <w:sz w:val="24"/>
        </w:rPr>
      </w:pPr>
      <w:r>
        <w:rPr>
          <w:rFonts w:hint="eastAsia" w:ascii="仿宋_GB2312" w:hAnsi="黑体" w:eastAsia="仿宋_GB2312"/>
          <w:bCs/>
          <w:sz w:val="24"/>
        </w:rPr>
        <w:t>五、工程代建管理酬金及工程建设资金拨付</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1、工程代建管理酬金由以下三部分组成：</w:t>
      </w:r>
    </w:p>
    <w:p>
      <w:pPr>
        <w:pStyle w:val="7"/>
        <w:spacing w:line="400" w:lineRule="exact"/>
        <w:ind w:right="0" w:firstLine="1680" w:firstLineChars="700"/>
        <w:rPr>
          <w:rFonts w:ascii="仿宋_GB2312" w:hAnsi="宋体" w:eastAsia="仿宋_GB2312"/>
          <w:sz w:val="24"/>
        </w:rPr>
      </w:pPr>
      <w:r>
        <w:rPr>
          <w:rFonts w:hint="eastAsia" w:ascii="仿宋_GB2312" w:hAnsi="宋体" w:eastAsia="仿宋_GB2312"/>
          <w:sz w:val="24"/>
        </w:rPr>
        <w:t>（1）代建管理费：代建人按照合同的要求完成项目代建管理工作的全部管理性质费用和承担项目业务可获取的风险报酬(含代建人从事项目代建业务应承担的各种税金、利润等)，按财政部《基本建设项目建设成本管理规定》（财建〔2016〕504号）相关规定及所附《项目建设管理费总额控制数费率表》的费率计算，经计算本项目代建管理费为</w:t>
      </w:r>
      <w:r>
        <w:rPr>
          <w:rFonts w:hint="eastAsia" w:ascii="仿宋_GB2312" w:hAnsi="宋体" w:eastAsia="仿宋_GB2312"/>
          <w:sz w:val="24"/>
          <w:u w:val="single"/>
        </w:rPr>
        <w:t xml:space="preserve">        </w:t>
      </w:r>
      <w:r>
        <w:rPr>
          <w:rFonts w:ascii="仿宋_GB2312" w:hAnsi="宋体" w:eastAsia="仿宋_GB2312"/>
          <w:sz w:val="24"/>
          <w:u w:val="single"/>
        </w:rPr>
        <w:t xml:space="preserve"> </w:t>
      </w:r>
      <w:r>
        <w:rPr>
          <w:rFonts w:hint="eastAsia" w:ascii="仿宋_GB2312" w:hAnsi="宋体" w:eastAsia="仿宋_GB2312"/>
          <w:sz w:val="24"/>
        </w:rPr>
        <w:t>万元，由委托人核实后报财政部门按规定程序拨付。</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代建管理费一经确定，不再因为人工、物价、税率、汇率、利率等因素的变动而调整，但因政府或项目业主原因导致项目投资超过原定范围正负30%以上时，代建管理费做相应调整。</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（2）节余分成费：</w:t>
      </w:r>
      <w:r>
        <w:rPr>
          <w:rFonts w:eastAsia="仿宋_GB2312"/>
          <w:sz w:val="24"/>
        </w:rPr>
        <w:t>项目如期建成且竣工验收合格，并经竣工财务决算审核批准后，如工程建安费用决算比经批准的建安工</w:t>
      </w:r>
      <w:r>
        <w:rPr>
          <w:rFonts w:hint="eastAsia" w:eastAsia="仿宋_GB2312"/>
          <w:sz w:val="24"/>
        </w:rPr>
        <w:t>.</w:t>
      </w:r>
      <w:r>
        <w:rPr>
          <w:rFonts w:eastAsia="仿宋_GB2312"/>
          <w:sz w:val="24"/>
        </w:rPr>
        <w:t>程概算有节余，节余资金的</w:t>
      </w:r>
      <w:r>
        <w:rPr>
          <w:rFonts w:hint="eastAsia" w:eastAsia="仿宋_GB2312"/>
          <w:sz w:val="24"/>
        </w:rPr>
        <w:t>1</w:t>
      </w:r>
      <w:r>
        <w:rPr>
          <w:rFonts w:eastAsia="仿宋_GB2312"/>
          <w:sz w:val="24"/>
        </w:rPr>
        <w:t>0%作为对代建单位的奖励，但最高不超过200万元</w:t>
      </w:r>
      <w:r>
        <w:rPr>
          <w:rFonts w:hint="eastAsia" w:eastAsia="仿宋_GB2312"/>
          <w:sz w:val="24"/>
        </w:rPr>
        <w:t>；</w:t>
      </w:r>
      <w:r>
        <w:rPr>
          <w:rFonts w:eastAsia="仿宋_GB2312"/>
          <w:sz w:val="24"/>
        </w:rPr>
        <w:t>由市发展改革部门和市</w:t>
      </w:r>
      <w:r>
        <w:rPr>
          <w:rFonts w:hint="eastAsia" w:eastAsia="仿宋_GB2312"/>
          <w:sz w:val="24"/>
        </w:rPr>
        <w:t xml:space="preserve"> </w:t>
      </w:r>
      <w:r>
        <w:rPr>
          <w:rFonts w:eastAsia="仿宋_GB2312"/>
          <w:sz w:val="24"/>
        </w:rPr>
        <w:t>财政部门核准后</w:t>
      </w:r>
      <w:r>
        <w:rPr>
          <w:rFonts w:hint="eastAsia" w:eastAsia="仿宋_GB2312"/>
          <w:sz w:val="24"/>
        </w:rPr>
        <w:t>报市政府经批准可</w:t>
      </w:r>
      <w:r>
        <w:rPr>
          <w:rFonts w:eastAsia="仿宋_GB2312"/>
          <w:sz w:val="24"/>
        </w:rPr>
        <w:t>在项目节余资金</w:t>
      </w:r>
      <w:r>
        <w:rPr>
          <w:rFonts w:hint="eastAsia" w:eastAsia="仿宋_GB2312"/>
          <w:sz w:val="24"/>
        </w:rPr>
        <w:t>或</w:t>
      </w:r>
      <w:r>
        <w:rPr>
          <w:rFonts w:eastAsia="仿宋_GB2312"/>
          <w:sz w:val="24"/>
        </w:rPr>
        <w:t>预备费中列支</w:t>
      </w:r>
      <w:r>
        <w:rPr>
          <w:rFonts w:hint="eastAsia" w:ascii="仿宋_GB2312" w:hAnsi="宋体" w:eastAsia="仿宋_GB2312"/>
          <w:sz w:val="24"/>
        </w:rPr>
        <w:t>。但未经设计变更审批，擅自缩小建设规模而减少的工程费用，不能作为节余资金计提奖励；因政府或项目业主原因缩小建设规模而减少的工程费用，不能作为节余资金计提奖励。</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（3）奖励费用：代建项目按规定工期建成，经竣工验收合格后交付使用，如被国家部委评为优良工程，按代建费用10%的标准，作为对代建人的奖励，但最高不超过200万元；</w:t>
      </w:r>
      <w:r>
        <w:rPr>
          <w:rFonts w:eastAsia="仿宋_GB2312"/>
          <w:sz w:val="24"/>
        </w:rPr>
        <w:t>代建奖励资金由市发展改革部门和市财政部门核准后</w:t>
      </w:r>
      <w:r>
        <w:rPr>
          <w:rFonts w:hint="eastAsia" w:eastAsia="仿宋_GB2312"/>
          <w:sz w:val="24"/>
        </w:rPr>
        <w:t>报市政府经批准可</w:t>
      </w:r>
      <w:r>
        <w:rPr>
          <w:rFonts w:eastAsia="仿宋_GB2312"/>
          <w:sz w:val="24"/>
        </w:rPr>
        <w:t>在项目节余资金</w:t>
      </w:r>
      <w:r>
        <w:rPr>
          <w:rFonts w:hint="eastAsia" w:eastAsia="仿宋_GB2312"/>
          <w:sz w:val="24"/>
        </w:rPr>
        <w:t>或</w:t>
      </w:r>
      <w:r>
        <w:rPr>
          <w:rFonts w:eastAsia="仿宋_GB2312"/>
          <w:sz w:val="24"/>
        </w:rPr>
        <w:t>预备费中列支</w:t>
      </w:r>
      <w:r>
        <w:rPr>
          <w:rFonts w:hint="eastAsia" w:eastAsia="仿宋_GB2312"/>
          <w:sz w:val="24"/>
        </w:rPr>
        <w:t>，并</w:t>
      </w:r>
      <w:r>
        <w:rPr>
          <w:rFonts w:eastAsia="仿宋_GB2312"/>
          <w:sz w:val="24"/>
        </w:rPr>
        <w:t>由市财政性资金和项目业主自筹资金按项目建设资金来源的比例分摊支付。</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（4）工程代建管理酬金拨付时间及比例：在专用合同条款第五十三条、第五十四条中约定。</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2、工程建设资金拨付：代建人根据实际工作进度，在委托人核签意见后，向市（区）财政部门申请拨付工程进度款，项目未经市财政预算评审的，工程进度款支付金额累计不得超过工程概算建安工程费的70%；项目已完成市（区）财政预算评审的，工程进度款支付金额累计不得超过工程概算建安工程费的80%。同时工程预付款要根据施工合同约定与工程进度款同期进行抵扣，待工程竣工验收合格后，以竣工结算为依据办理结算，并预留工程价款结算总额的3%作为工程质保金，在质保期满后经项目业主单位、代建单位确认后由市（区）财政部门一次性拨付给施工单位。</w:t>
      </w:r>
    </w:p>
    <w:p>
      <w:pPr>
        <w:pStyle w:val="7"/>
        <w:spacing w:line="400" w:lineRule="exact"/>
        <w:ind w:right="0" w:firstLine="480"/>
        <w:rPr>
          <w:rFonts w:ascii="仿宋_GB2312" w:hAnsi="黑体" w:eastAsia="仿宋_GB2312"/>
          <w:bCs/>
          <w:sz w:val="24"/>
        </w:rPr>
      </w:pPr>
      <w:r>
        <w:rPr>
          <w:rFonts w:hint="eastAsia" w:ascii="仿宋_GB2312" w:hAnsi="黑体" w:eastAsia="仿宋_GB2312"/>
          <w:bCs/>
          <w:sz w:val="24"/>
        </w:rPr>
        <w:t>六、本合同由以下文件组成：</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1、双方认可的并按程序报有关部门审批或者备案的有关工程的变更、洽商等书面文件或协议修正文件；</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2、委托代建合同协议书；</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3、专用合同条款；</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4、通用合同条款；</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5、中标通知书；</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6、投标书及其附件；</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7、招标文件及其附件（或描述代建项目的技术性文件）；</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8、项目方案设计文件或立项批复等前期资料文件；</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9、标准、规范及有关技术文件；</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10、本项目的《代建管理规划大纲》及《代建管理实施规划》；</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11、其他对双方认可的具有合同约束力的书面资料、电子邮件或音像资料等。</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构成本合同的文件若存在歧义或不一致时，则按上述排列次序进行解释。上述各项合同文件包括合同当事人就该项合同文件所作出的补充和修改，属于同一类内容的文件，应以最新签署的为准。专用合同条款及其附件须经合同当事人签字或盖章。</w:t>
      </w:r>
    </w:p>
    <w:p>
      <w:pPr>
        <w:pStyle w:val="7"/>
        <w:spacing w:line="400" w:lineRule="exact"/>
        <w:ind w:right="0" w:firstLine="480"/>
        <w:rPr>
          <w:rFonts w:ascii="仿宋_GB2312" w:hAnsi="黑体" w:eastAsia="仿宋_GB2312"/>
          <w:bCs/>
          <w:sz w:val="24"/>
        </w:rPr>
      </w:pPr>
      <w:r>
        <w:rPr>
          <w:rFonts w:hint="eastAsia" w:ascii="仿宋_GB2312" w:hAnsi="黑体" w:eastAsia="仿宋_GB2312"/>
          <w:bCs/>
          <w:sz w:val="24"/>
        </w:rPr>
        <w:t>七、委托人承诺，遵守本合同中的各项约定，为代建人提供项目建设的必要条件并履行各项义务。</w:t>
      </w:r>
    </w:p>
    <w:p>
      <w:pPr>
        <w:pStyle w:val="7"/>
        <w:spacing w:line="400" w:lineRule="exact"/>
        <w:ind w:right="0" w:firstLine="480"/>
        <w:rPr>
          <w:rFonts w:ascii="仿宋_GB2312" w:hAnsi="黑体" w:eastAsia="仿宋_GB2312"/>
          <w:bCs/>
          <w:sz w:val="24"/>
        </w:rPr>
      </w:pPr>
      <w:r>
        <w:rPr>
          <w:rFonts w:hint="eastAsia" w:ascii="仿宋_GB2312" w:hAnsi="黑体" w:eastAsia="仿宋_GB2312"/>
          <w:bCs/>
          <w:sz w:val="24"/>
        </w:rPr>
        <w:t>八、代建人承诺，遵守本合同中的各项约定，按照代建工作范围和内容，承担代建任务，并对委托人负责。</w:t>
      </w:r>
    </w:p>
    <w:p>
      <w:pPr>
        <w:pStyle w:val="7"/>
        <w:spacing w:line="400" w:lineRule="exact"/>
        <w:ind w:right="0" w:firstLine="480"/>
        <w:rPr>
          <w:rFonts w:ascii="仿宋_GB2312" w:hAnsi="黑体" w:eastAsia="仿宋_GB2312"/>
          <w:bCs/>
          <w:sz w:val="24"/>
        </w:rPr>
      </w:pPr>
      <w:r>
        <w:rPr>
          <w:rFonts w:hint="eastAsia" w:ascii="仿宋_GB2312" w:hAnsi="黑体" w:eastAsia="仿宋_GB2312"/>
          <w:bCs/>
          <w:sz w:val="24"/>
        </w:rPr>
        <w:t>九、本合同中有关词语含义与本合同第二部分《通用合同条款》中赋予它们的定义相同。</w:t>
      </w:r>
    </w:p>
    <w:p>
      <w:pPr>
        <w:pStyle w:val="7"/>
        <w:spacing w:line="400" w:lineRule="exact"/>
        <w:ind w:right="0" w:firstLine="480"/>
        <w:rPr>
          <w:rFonts w:ascii="仿宋_GB2312" w:hAnsi="黑体" w:eastAsia="仿宋_GB2312"/>
          <w:bCs/>
          <w:sz w:val="24"/>
        </w:rPr>
      </w:pPr>
      <w:r>
        <w:rPr>
          <w:rFonts w:hint="eastAsia" w:ascii="仿宋_GB2312" w:hAnsi="黑体" w:eastAsia="仿宋_GB2312"/>
          <w:bCs/>
          <w:sz w:val="24"/>
        </w:rPr>
        <w:t>十、本合同一式 10份，委托人与代建人签订后须报市（区）发展改革部门备案签章，方可生效。委托人、代建人各执4份，市（区）发展改革部门执2份，具有同等法律效力。</w:t>
      </w:r>
    </w:p>
    <w:p>
      <w:pPr>
        <w:pStyle w:val="7"/>
        <w:spacing w:line="400" w:lineRule="exact"/>
        <w:ind w:right="0" w:firstLine="480"/>
        <w:rPr>
          <w:rFonts w:ascii="仿宋_GB2312" w:eastAsia="仿宋_GB2312"/>
          <w:sz w:val="24"/>
        </w:rPr>
      </w:pP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委托人：                     代建单位：</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法人代表（委托代理人）        法定代表人（委托代理人）</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(签章)：                     (签章)：</w:t>
      </w:r>
    </w:p>
    <w:p>
      <w:pPr>
        <w:pStyle w:val="7"/>
        <w:spacing w:line="400" w:lineRule="exact"/>
        <w:ind w:right="0" w:firstLine="480"/>
        <w:rPr>
          <w:rFonts w:ascii="仿宋_GB2312" w:hAnsi="宋体" w:eastAsia="仿宋_GB2312"/>
          <w:sz w:val="24"/>
        </w:rPr>
      </w:pP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签约时间：                   签约时间：</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 xml:space="preserve">地址：                       地址： </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电话：                       电话：</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传真：</w:t>
      </w:r>
      <w:r>
        <w:rPr>
          <w:rFonts w:hint="eastAsia" w:ascii="仿宋_GB2312" w:hAnsi="宋体" w:eastAsia="仿宋_GB2312"/>
          <w:sz w:val="24"/>
        </w:rPr>
        <w:tab/>
      </w:r>
      <w:r>
        <w:rPr>
          <w:rFonts w:hint="eastAsia" w:ascii="仿宋_GB2312" w:hAnsi="宋体" w:eastAsia="仿宋_GB2312"/>
          <w:sz w:val="24"/>
        </w:rPr>
        <w:tab/>
      </w:r>
      <w:r>
        <w:rPr>
          <w:rFonts w:hint="eastAsia" w:ascii="仿宋_GB2312" w:hAnsi="宋体" w:eastAsia="仿宋_GB2312"/>
          <w:sz w:val="24"/>
        </w:rPr>
        <w:tab/>
      </w:r>
      <w:r>
        <w:rPr>
          <w:rFonts w:hint="eastAsia" w:ascii="仿宋_GB2312" w:hAnsi="宋体" w:eastAsia="仿宋_GB2312"/>
          <w:sz w:val="24"/>
        </w:rPr>
        <w:tab/>
      </w:r>
      <w:r>
        <w:rPr>
          <w:rFonts w:hint="eastAsia" w:ascii="仿宋_GB2312" w:hAnsi="宋体" w:eastAsia="仿宋_GB2312"/>
          <w:sz w:val="24"/>
        </w:rPr>
        <w:tab/>
      </w:r>
      <w:r>
        <w:rPr>
          <w:rFonts w:hint="eastAsia" w:ascii="仿宋_GB2312" w:hAnsi="宋体" w:eastAsia="仿宋_GB2312"/>
          <w:sz w:val="24"/>
        </w:rPr>
        <w:t xml:space="preserve">         传真：</w:t>
      </w:r>
    </w:p>
    <w:p>
      <w:pPr>
        <w:pStyle w:val="7"/>
        <w:spacing w:line="400" w:lineRule="exact"/>
        <w:ind w:right="0" w:firstLine="0" w:firstLineChars="0"/>
        <w:jc w:val="center"/>
        <w:rPr>
          <w:rFonts w:ascii="仿宋_GB2312" w:hAnsi="宋体" w:eastAsia="仿宋_GB2312"/>
          <w:sz w:val="24"/>
        </w:rPr>
      </w:pPr>
    </w:p>
    <w:p>
      <w:pPr>
        <w:pStyle w:val="7"/>
        <w:spacing w:line="400" w:lineRule="exact"/>
        <w:ind w:right="0" w:firstLine="0" w:firstLineChars="0"/>
        <w:jc w:val="center"/>
        <w:rPr>
          <w:rFonts w:ascii="仿宋_GB2312" w:hAnsi="宋体" w:eastAsia="仿宋_GB2312"/>
          <w:sz w:val="24"/>
        </w:rPr>
      </w:pPr>
    </w:p>
    <w:p>
      <w:pPr>
        <w:pStyle w:val="7"/>
        <w:spacing w:line="400" w:lineRule="exact"/>
        <w:ind w:right="0" w:firstLine="0" w:firstLineChars="0"/>
        <w:jc w:val="center"/>
        <w:rPr>
          <w:rFonts w:ascii="仿宋_GB2312" w:hAnsi="宋体" w:eastAsia="仿宋_GB2312"/>
          <w:sz w:val="24"/>
        </w:rPr>
      </w:pPr>
    </w:p>
    <w:p>
      <w:pPr>
        <w:pStyle w:val="7"/>
        <w:spacing w:line="400" w:lineRule="exact"/>
        <w:ind w:right="0" w:firstLine="0" w:firstLineChars="0"/>
        <w:jc w:val="center"/>
        <w:rPr>
          <w:rFonts w:ascii="仿宋_GB2312" w:hAnsi="宋体" w:eastAsia="仿宋_GB2312"/>
          <w:sz w:val="24"/>
        </w:rPr>
      </w:pPr>
    </w:p>
    <w:p>
      <w:pPr>
        <w:pStyle w:val="7"/>
        <w:spacing w:line="400" w:lineRule="exact"/>
        <w:ind w:right="0" w:firstLine="0" w:firstLineChars="0"/>
        <w:jc w:val="center"/>
        <w:rPr>
          <w:rFonts w:ascii="仿宋_GB2312" w:hAnsi="宋体" w:eastAsia="仿宋_GB2312"/>
          <w:sz w:val="24"/>
        </w:rPr>
      </w:pPr>
    </w:p>
    <w:p>
      <w:pPr>
        <w:pStyle w:val="7"/>
        <w:spacing w:line="400" w:lineRule="exact"/>
        <w:ind w:right="0" w:firstLine="0" w:firstLineChars="0"/>
        <w:jc w:val="center"/>
        <w:rPr>
          <w:rFonts w:ascii="仿宋_GB2312" w:hAnsi="宋体" w:eastAsia="仿宋_GB2312"/>
          <w:sz w:val="24"/>
        </w:rPr>
      </w:pPr>
    </w:p>
    <w:p>
      <w:pPr>
        <w:pStyle w:val="7"/>
        <w:spacing w:line="400" w:lineRule="exact"/>
        <w:ind w:right="0" w:firstLine="0" w:firstLineChars="0"/>
        <w:jc w:val="center"/>
        <w:rPr>
          <w:rFonts w:ascii="仿宋_GB2312" w:hAnsi="宋体" w:eastAsia="仿宋_GB2312"/>
          <w:sz w:val="24"/>
        </w:rPr>
      </w:pPr>
    </w:p>
    <w:p>
      <w:pPr>
        <w:pStyle w:val="7"/>
        <w:spacing w:line="400" w:lineRule="exact"/>
        <w:ind w:right="0" w:firstLine="0" w:firstLineChars="0"/>
        <w:jc w:val="center"/>
        <w:rPr>
          <w:rFonts w:ascii="仿宋_GB2312" w:hAnsi="宋体" w:eastAsia="仿宋_GB2312"/>
          <w:sz w:val="24"/>
        </w:rPr>
      </w:pPr>
    </w:p>
    <w:p>
      <w:pPr>
        <w:pStyle w:val="7"/>
        <w:spacing w:line="400" w:lineRule="exact"/>
        <w:ind w:right="0" w:firstLine="0" w:firstLineChars="0"/>
        <w:jc w:val="center"/>
        <w:rPr>
          <w:rFonts w:ascii="仿宋_GB2312" w:hAnsi="黑体" w:eastAsia="仿宋_GB2312"/>
          <w:bCs/>
          <w:sz w:val="24"/>
        </w:rPr>
      </w:pPr>
      <w:r>
        <w:rPr>
          <w:rFonts w:hint="eastAsia" w:ascii="仿宋_GB2312" w:hAnsi="宋体" w:eastAsia="仿宋_GB2312"/>
          <w:b/>
          <w:sz w:val="24"/>
        </w:rPr>
        <w:br w:type="page"/>
      </w:r>
      <w:r>
        <w:rPr>
          <w:rFonts w:hint="eastAsia" w:ascii="仿宋_GB2312" w:hAnsi="黑体" w:eastAsia="仿宋_GB2312"/>
          <w:bCs/>
          <w:sz w:val="24"/>
        </w:rPr>
        <w:t>第二部分 通用合同条款</w:t>
      </w:r>
    </w:p>
    <w:p>
      <w:pPr>
        <w:pStyle w:val="7"/>
        <w:spacing w:line="400" w:lineRule="exact"/>
        <w:ind w:right="0" w:firstLine="0" w:firstLineChars="0"/>
        <w:jc w:val="center"/>
        <w:rPr>
          <w:rFonts w:ascii="仿宋_GB2312" w:hAnsi="黑体" w:eastAsia="仿宋_GB2312"/>
          <w:bCs/>
          <w:sz w:val="24"/>
        </w:rPr>
      </w:pPr>
    </w:p>
    <w:p>
      <w:pPr>
        <w:pStyle w:val="7"/>
        <w:spacing w:line="400" w:lineRule="exact"/>
        <w:ind w:right="0" w:firstLine="0" w:firstLineChars="0"/>
        <w:jc w:val="center"/>
        <w:rPr>
          <w:rFonts w:ascii="仿宋_GB2312" w:hAnsi="黑体" w:eastAsia="仿宋_GB2312"/>
          <w:bCs/>
          <w:sz w:val="24"/>
        </w:rPr>
      </w:pPr>
      <w:r>
        <w:rPr>
          <w:rFonts w:hint="eastAsia" w:ascii="仿宋_GB2312" w:hAnsi="黑体" w:eastAsia="仿宋_GB2312"/>
          <w:bCs/>
          <w:sz w:val="24"/>
        </w:rPr>
        <w:t>第一章  词语定义、适用的法律法规、语言</w:t>
      </w:r>
    </w:p>
    <w:p>
      <w:pPr>
        <w:pStyle w:val="7"/>
        <w:spacing w:line="400" w:lineRule="exact"/>
        <w:ind w:right="0" w:firstLine="0" w:firstLineChars="0"/>
        <w:rPr>
          <w:rFonts w:ascii="仿宋_GB2312" w:hAnsi="宋体" w:eastAsia="仿宋_GB2312"/>
          <w:sz w:val="24"/>
        </w:rPr>
      </w:pPr>
      <w:r>
        <w:rPr>
          <w:rFonts w:hint="eastAsia" w:ascii="仿宋_GB2312" w:hAnsi="宋体" w:eastAsia="仿宋_GB2312"/>
          <w:sz w:val="24"/>
        </w:rPr>
        <w:t xml:space="preserve">    第一条  词语定义</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下列词语除专用合同条款另有约定外，应具有本条所赋予的定义：</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（1）“项目”是指委托人委托代建人实施建设管理的项目。</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（2）“委托人”是指委托代建任务并在项目建成后实际接收、管理或使用的项目业主。</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（3）“代建人”是指按照委托合同约定承担建设项目组织、管理、策划和实施等代建管理工作的专业工程管理公司。</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（4）“项目代建经理部”是指由代建人组建负责具体代建管理工作的机构。</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（5）“项目经理”是指由代建人任命全面履行本合同的负责人。</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（6）“专业工作单位”是指由代建人按相关规定通过招标等方式选择承担项目咨询评估、勘察、测绘、设计、施工、材料和设备供应及安装等工作，具备相应资质的单位。</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（7）“项目概算”是指在初步设计阶段编制的建设项目从筹建到竣工验收交付使用的预期造价。</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（8）“竣工决算”是指经政府决算部门审定的竣工决算。是反映竣工项目建设成果和财务状况的总结性文件，是办理交付使用资产价值的依据，也是建设项目进行评估的依据。</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（9）“节余额”是指批准的项目概算（由代建人管理的部分）与批准的项目相应的决算之差额。</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（10）“正常工作”是指本合同订立时通用条款和专用条款中约定的代建人代建工作的内容。</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（11）“附加工作”是指本合同约定的“正常工作”以外代建人的工作，主要通过书面协议另行增加。</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（12）“不可抗力”是指不能预见、不能避免并不能克服的客观情况。包括战争、动乱、火灾以及台风、五级以上地震、持续24小时且降雨量在50mm以上的降水、山洪、泥石流等自然灾害。</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（13）“日”是指任何一天零时至第二天零时的时间段。</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（14）“月”是指根据公历从一个月份中任何一天开始到下一个月相应日期前一天的时间段。</w:t>
      </w:r>
    </w:p>
    <w:p>
      <w:pPr>
        <w:spacing w:line="400" w:lineRule="exact"/>
        <w:ind w:firstLine="480" w:firstLineChars="200"/>
        <w:rPr>
          <w:rFonts w:ascii="仿宋_GB2312" w:hAnsi="宋体" w:eastAsia="仿宋_GB2312"/>
          <w:sz w:val="24"/>
        </w:rPr>
      </w:pPr>
      <w:r>
        <w:rPr>
          <w:rFonts w:hint="eastAsia" w:ascii="仿宋_GB2312" w:hAnsi="宋体" w:eastAsia="仿宋_GB2312"/>
          <w:sz w:val="24"/>
        </w:rPr>
        <w:t>（15）缺陷责任期：指委托人要求代建人履行工程缺陷责任的期限，具体期限由委托人按规定在专用合同条款中与代建人约定，包括根据缺陷责任期约定条件所作的延长期限。</w:t>
      </w:r>
    </w:p>
    <w:p>
      <w:pPr>
        <w:spacing w:line="400" w:lineRule="exact"/>
        <w:ind w:firstLine="480" w:firstLineChars="200"/>
        <w:rPr>
          <w:rFonts w:ascii="仿宋_GB2312" w:hAnsi="宋体" w:eastAsia="仿宋_GB2312"/>
          <w:sz w:val="24"/>
        </w:rPr>
      </w:pPr>
      <w:r>
        <w:rPr>
          <w:rFonts w:hint="eastAsia" w:ascii="仿宋_GB2312" w:hAnsi="宋体" w:eastAsia="仿宋_GB2312"/>
          <w:sz w:val="24"/>
        </w:rPr>
        <w:t>（16）工程质量保修期：指根据现行有关法律规定，在专用合同条款中约定的由代建人负责对工程保修范围内发生的质量问题，履行保修义务并对造成的损失承担赔偿责任的期限，</w:t>
      </w:r>
      <w:r>
        <w:rPr>
          <w:rFonts w:hint="eastAsia" w:ascii="仿宋_GB2312" w:eastAsia="仿宋_GB2312"/>
          <w:kern w:val="0"/>
          <w:sz w:val="24"/>
        </w:rPr>
        <w:t>从工程竣工验收合格之日起计算。</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第二条  本合同适用的法律是指国家的法律、行政法规、规范性文件，以及合同条款中约定的部门规章、规范性文件或工程所在地的地方法规、地方规章及其他相关规范性文件。</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第三条  本合同文件使用汉语语言文字书写、解释和说明。如专用条款约定使用两种以上(含两种)语言文字时，汉语应为解释和说明本合同的标准语言文字。</w:t>
      </w:r>
    </w:p>
    <w:p>
      <w:pPr>
        <w:pStyle w:val="7"/>
        <w:spacing w:line="400" w:lineRule="exact"/>
        <w:ind w:right="0" w:firstLine="0" w:firstLineChars="0"/>
        <w:jc w:val="center"/>
        <w:rPr>
          <w:rFonts w:ascii="仿宋_GB2312" w:hAnsi="黑体" w:eastAsia="仿宋_GB2312"/>
          <w:sz w:val="24"/>
        </w:rPr>
      </w:pPr>
      <w:r>
        <w:rPr>
          <w:rFonts w:hint="eastAsia" w:ascii="仿宋_GB2312" w:hAnsi="黑体" w:eastAsia="仿宋_GB2312"/>
          <w:sz w:val="24"/>
        </w:rPr>
        <w:t>第二章  代建工作内容</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第四条  代建人代建工作的内容主要包括：</w:t>
      </w:r>
    </w:p>
    <w:p>
      <w:pPr>
        <w:spacing w:line="400" w:lineRule="exact"/>
        <w:ind w:firstLine="480" w:firstLineChars="200"/>
        <w:jc w:val="left"/>
        <w:rPr>
          <w:rFonts w:ascii="仿宋_GB2312" w:hAnsi="宋体" w:eastAsia="仿宋_GB2312"/>
          <w:sz w:val="24"/>
        </w:rPr>
      </w:pPr>
      <w:r>
        <w:rPr>
          <w:rFonts w:hint="eastAsia" w:ascii="仿宋_GB2312" w:hAnsi="宋体" w:eastAsia="仿宋_GB2312"/>
          <w:sz w:val="24"/>
        </w:rPr>
        <w:t>（1）办理项目规划设计条件，配合提供项目征地所需的立项及规划选址资料；</w:t>
      </w:r>
    </w:p>
    <w:p>
      <w:pPr>
        <w:spacing w:line="400" w:lineRule="exact"/>
        <w:ind w:firstLine="480" w:firstLineChars="200"/>
        <w:jc w:val="left"/>
        <w:rPr>
          <w:rFonts w:ascii="仿宋_GB2312" w:hAnsi="宋体" w:eastAsia="仿宋_GB2312"/>
          <w:sz w:val="24"/>
        </w:rPr>
      </w:pPr>
      <w:r>
        <w:rPr>
          <w:rFonts w:hint="eastAsia" w:ascii="仿宋_GB2312" w:hAnsi="宋体" w:eastAsia="仿宋_GB2312"/>
          <w:sz w:val="24"/>
        </w:rPr>
        <w:t>（2）组织编制和报批项目可行性研究报告；</w:t>
      </w:r>
    </w:p>
    <w:p>
      <w:pPr>
        <w:widowControl/>
        <w:spacing w:line="400" w:lineRule="exact"/>
        <w:ind w:firstLine="480" w:firstLineChars="200"/>
        <w:jc w:val="left"/>
        <w:rPr>
          <w:rFonts w:ascii="仿宋_GB2312" w:hAnsi="宋体" w:eastAsia="仿宋_GB2312"/>
          <w:sz w:val="24"/>
        </w:rPr>
      </w:pPr>
      <w:r>
        <w:rPr>
          <w:rFonts w:hint="eastAsia" w:ascii="仿宋_GB2312" w:hAnsi="宋体" w:eastAsia="仿宋_GB2312"/>
          <w:sz w:val="24"/>
        </w:rPr>
        <w:t>（3）组织编制报批设计方案、初步设计及概算，组织编制施工图设计及预算并报送相关部门备案；</w:t>
      </w:r>
    </w:p>
    <w:p>
      <w:pPr>
        <w:widowControl/>
        <w:spacing w:line="400" w:lineRule="exact"/>
        <w:ind w:firstLine="480" w:firstLineChars="200"/>
        <w:jc w:val="left"/>
        <w:rPr>
          <w:rFonts w:ascii="仿宋_GB2312" w:hAnsi="宋体" w:eastAsia="仿宋_GB2312"/>
          <w:sz w:val="24"/>
        </w:rPr>
      </w:pPr>
      <w:r>
        <w:rPr>
          <w:rFonts w:hint="eastAsia" w:ascii="仿宋_GB2312" w:hAnsi="宋体" w:eastAsia="仿宋_GB2312"/>
          <w:sz w:val="24"/>
        </w:rPr>
        <w:t>（4）负责按可行性研究报告批复的招标方案及相关法规对勘察、设计、施工和材料设备采购等开展招标工作，并签订有关合同；</w:t>
      </w:r>
    </w:p>
    <w:p>
      <w:pPr>
        <w:widowControl/>
        <w:spacing w:line="400" w:lineRule="exact"/>
        <w:ind w:firstLine="480" w:firstLineChars="200"/>
        <w:jc w:val="left"/>
        <w:rPr>
          <w:rFonts w:ascii="仿宋_GB2312" w:hAnsi="宋体" w:eastAsia="仿宋_GB2312"/>
          <w:sz w:val="24"/>
        </w:rPr>
      </w:pPr>
      <w:r>
        <w:rPr>
          <w:rFonts w:hint="eastAsia" w:ascii="仿宋_GB2312" w:hAnsi="宋体" w:eastAsia="仿宋_GB2312"/>
          <w:sz w:val="24"/>
        </w:rPr>
        <w:t>（5）协调配合土地、住建部门和项目所在辖区政府，落实项目的建设用地和征地拆迁工作；</w:t>
      </w:r>
    </w:p>
    <w:p>
      <w:pPr>
        <w:widowControl/>
        <w:spacing w:line="400" w:lineRule="exact"/>
        <w:ind w:firstLine="480" w:firstLineChars="200"/>
        <w:jc w:val="left"/>
        <w:rPr>
          <w:rFonts w:ascii="仿宋_GB2312" w:hAnsi="宋体" w:eastAsia="仿宋_GB2312"/>
          <w:sz w:val="24"/>
        </w:rPr>
      </w:pPr>
      <w:r>
        <w:rPr>
          <w:rFonts w:hint="eastAsia" w:ascii="仿宋_GB2312" w:hAnsi="宋体" w:eastAsia="仿宋_GB2312"/>
          <w:sz w:val="24"/>
        </w:rPr>
        <w:t>（6）负责办理规划报建、施工许可、竣工验收备案、工程结（决）算、移交和组织保修等工作；</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（7）根据代建合同做好业主交办的其他代建工作。</w:t>
      </w:r>
    </w:p>
    <w:p>
      <w:pPr>
        <w:pStyle w:val="7"/>
        <w:spacing w:line="400" w:lineRule="exact"/>
        <w:ind w:right="0" w:firstLine="0" w:firstLineChars="0"/>
        <w:jc w:val="center"/>
        <w:rPr>
          <w:rFonts w:ascii="仿宋_GB2312" w:hAnsi="黑体" w:eastAsia="仿宋_GB2312"/>
          <w:bCs/>
          <w:sz w:val="24"/>
        </w:rPr>
      </w:pPr>
      <w:r>
        <w:rPr>
          <w:rFonts w:hint="eastAsia" w:ascii="仿宋_GB2312" w:hAnsi="黑体" w:eastAsia="仿宋_GB2312"/>
          <w:bCs/>
          <w:sz w:val="24"/>
        </w:rPr>
        <w:t>第三章  委托人的权利</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第五条  委托人有权按相关法律法规对监理开展招标工作，并签订有关合同。</w:t>
      </w:r>
    </w:p>
    <w:p>
      <w:pPr>
        <w:pStyle w:val="7"/>
        <w:spacing w:line="400" w:lineRule="exact"/>
        <w:ind w:right="0" w:firstLine="504" w:firstLineChars="210"/>
        <w:rPr>
          <w:rFonts w:ascii="仿宋_GB2312" w:hAnsi="宋体" w:eastAsia="仿宋_GB2312"/>
          <w:sz w:val="24"/>
        </w:rPr>
      </w:pPr>
      <w:r>
        <w:rPr>
          <w:rFonts w:hint="eastAsia" w:ascii="仿宋_GB2312" w:hAnsi="宋体" w:eastAsia="仿宋_GB2312"/>
          <w:sz w:val="24"/>
        </w:rPr>
        <w:t>第六条  委托人有权对建设项目进行稽察，参与工程质量、安全文明及施工进度的监督工作，对违规行为予以纠正，并视其违规情节严重程度记入不良记录管理档案。</w:t>
      </w:r>
    </w:p>
    <w:p>
      <w:pPr>
        <w:pStyle w:val="7"/>
        <w:spacing w:line="400" w:lineRule="exact"/>
        <w:ind w:right="0" w:firstLine="504" w:firstLineChars="210"/>
        <w:rPr>
          <w:rFonts w:ascii="仿宋_GB2312" w:hAnsi="宋体" w:eastAsia="仿宋_GB2312"/>
          <w:sz w:val="24"/>
        </w:rPr>
      </w:pPr>
      <w:r>
        <w:rPr>
          <w:rFonts w:hint="eastAsia" w:ascii="仿宋_GB2312" w:hAnsi="宋体" w:eastAsia="仿宋_GB2312"/>
          <w:sz w:val="24"/>
        </w:rPr>
        <w:t>第七条  委托人有权对工程项目的资金使用情况进行监督。</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第八条  委托人有权根据三亚市相关信用评价办法，对代建、勘察、设计、监理、施工等各参建单位履约情况进行考核评价。</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第九条  委托人有权要求代建人更换不称职的项目代建经理部工作人员。</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第十条  委托人有权参与监督和指导项目的建设实施，并组织建设项目的竣工验收移交及产权接收等工作。</w:t>
      </w:r>
    </w:p>
    <w:p>
      <w:pPr>
        <w:pStyle w:val="7"/>
        <w:spacing w:line="400" w:lineRule="exact"/>
        <w:ind w:right="0" w:firstLine="480"/>
        <w:jc w:val="left"/>
        <w:rPr>
          <w:rFonts w:ascii="仿宋_GB2312" w:hAnsi="宋体" w:eastAsia="仿宋_GB2312"/>
          <w:sz w:val="24"/>
        </w:rPr>
      </w:pPr>
      <w:r>
        <w:rPr>
          <w:rFonts w:hint="eastAsia" w:ascii="仿宋_GB2312" w:hAnsi="宋体" w:eastAsia="仿宋_GB2312"/>
          <w:sz w:val="24"/>
        </w:rPr>
        <w:t>第十一条  委托人有权对勘察、设计和施工招投标及设备和重要材料政府采购进行监督，并对上述招投标和政府采购进行确认。委托人有权监督和确认代建人签订的勘察、设计、施工、设备和重要材料采购等合同。</w:t>
      </w:r>
    </w:p>
    <w:p>
      <w:pPr>
        <w:pStyle w:val="7"/>
        <w:spacing w:line="400" w:lineRule="exact"/>
        <w:ind w:right="0" w:firstLine="480"/>
        <w:rPr>
          <w:rFonts w:ascii="仿宋_GB2312" w:hAnsi="宋体" w:eastAsia="仿宋_GB2312"/>
          <w:sz w:val="24"/>
          <w:u w:val="single"/>
        </w:rPr>
      </w:pPr>
      <w:r>
        <w:rPr>
          <w:rFonts w:hint="eastAsia" w:ascii="仿宋_GB2312" w:hAnsi="宋体" w:eastAsia="仿宋_GB2312"/>
          <w:sz w:val="24"/>
        </w:rPr>
        <w:t>委托人有权对因技术、水文、地质等原因造成的设计变更进行审核，并经政府相关部门确认后进行备案。</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第十二条  委托人有权要求代建人赔偿因擅自变更建设内容，扩大（或缩小）建设规模、提高（或降低）建设标准，致使工期延长、投资增加或工程质量不合格所造成的损失。</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第十三条  委托人有权就因其他方原因造成的损失提出索赔，如果该索赔要求未能成立，则索赔提出方应补偿因该索赔给他方造成的各项费用支出和损失。</w:t>
      </w:r>
    </w:p>
    <w:p>
      <w:pPr>
        <w:pStyle w:val="7"/>
        <w:spacing w:line="400" w:lineRule="exact"/>
        <w:ind w:right="0" w:firstLine="0" w:firstLineChars="0"/>
        <w:jc w:val="center"/>
        <w:rPr>
          <w:rFonts w:ascii="仿宋_GB2312" w:hAnsi="黑体" w:eastAsia="仿宋_GB2312"/>
          <w:bCs/>
          <w:sz w:val="24"/>
        </w:rPr>
      </w:pPr>
      <w:r>
        <w:rPr>
          <w:rFonts w:hint="eastAsia" w:ascii="仿宋_GB2312" w:hAnsi="黑体" w:eastAsia="仿宋_GB2312"/>
          <w:bCs/>
          <w:sz w:val="24"/>
        </w:rPr>
        <w:t>第四章  代建人的权利</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第十四条  代建人根据委托人的授权以及有关规定，享有项目建设的组织、管理及协调权：</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（1）根据项目建议书的批复及有关规定选择各类专业工作单位，与其签订合同，并协助办理各种手续。</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（2）管理各类承包合同，并按规定在委托代建管理范围内，签署向承包商支付承包费的审核意见。</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（3）在代建管理范围内，对项目工程建设资金的使用进行监督和管理。</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（4）与有关单位商定处理缺陷维护、保修、返修内容和费用。</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（5）代建人有权在施工招标阶段参与、审查本工程的工程量清单和工程预算。</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（6）组织项目各参与方的协调、沟通工作。</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第十五条  代建人有权拒绝委托人提出的本合同约定之外的要求。</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第十六条  代建人有权取得代建管理报酬。并有权按专用合同条件约定从项目投资节余额中获取奖酬金，项目如被国家部委评为优良工程还有权获取奖励。</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第十七条  代建人有权就因其他方原因给委托人造成损失时向委托人报告损失情况，提出索赔意见，并经委托人同意后，向其他方提出索赔。如果该索赔要求未能成立，则由委托人补偿因该索赔给他方造成的各项费用支出和损失。</w:t>
      </w:r>
    </w:p>
    <w:p>
      <w:pPr>
        <w:pStyle w:val="7"/>
        <w:spacing w:line="400" w:lineRule="exact"/>
        <w:ind w:right="0" w:firstLine="0" w:firstLineChars="0"/>
        <w:jc w:val="center"/>
        <w:rPr>
          <w:rFonts w:ascii="仿宋_GB2312" w:hAnsi="黑体" w:eastAsia="仿宋_GB2312"/>
          <w:bCs/>
          <w:sz w:val="24"/>
        </w:rPr>
      </w:pPr>
      <w:r>
        <w:rPr>
          <w:rFonts w:hint="eastAsia" w:ascii="仿宋_GB2312" w:hAnsi="黑体" w:eastAsia="仿宋_GB2312"/>
          <w:bCs/>
          <w:sz w:val="24"/>
        </w:rPr>
        <w:t>第五章  委托人的义务</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第十八条  委托人应在规定的时间内向代建人提供包含项目的使用功能要求等内容的设计任务书。</w:t>
      </w:r>
    </w:p>
    <w:p>
      <w:pPr>
        <w:pStyle w:val="7"/>
        <w:spacing w:line="400" w:lineRule="exact"/>
        <w:ind w:right="0" w:firstLine="480"/>
        <w:rPr>
          <w:rFonts w:ascii="仿宋_GB2312" w:hAnsi="宋体" w:eastAsia="仿宋_GB2312"/>
          <w:sz w:val="24"/>
          <w:u w:val="single"/>
        </w:rPr>
      </w:pPr>
      <w:r>
        <w:rPr>
          <w:rFonts w:hint="eastAsia" w:ascii="仿宋_GB2312" w:hAnsi="宋体" w:eastAsia="仿宋_GB2312"/>
          <w:sz w:val="24"/>
        </w:rPr>
        <w:t>第十九条  委托人应配合代建单位协调政府各相关部门加快推进代建项目实施，对项目建设内容、建设规模、建设标准和使用功能提出意见，并配合办理项目前期相关手续。委托人应做好项目征地拆迁工作，确保项目顺利实施。</w:t>
      </w:r>
    </w:p>
    <w:p>
      <w:pPr>
        <w:pStyle w:val="7"/>
        <w:tabs>
          <w:tab w:val="left" w:pos="1260"/>
        </w:tabs>
        <w:spacing w:line="400" w:lineRule="exact"/>
        <w:ind w:right="0" w:firstLine="480"/>
        <w:rPr>
          <w:rFonts w:ascii="仿宋_GB2312" w:hAnsi="宋体" w:eastAsia="仿宋_GB2312"/>
          <w:sz w:val="24"/>
        </w:rPr>
      </w:pPr>
      <w:r>
        <w:rPr>
          <w:rFonts w:hint="eastAsia" w:ascii="仿宋_GB2312" w:hAnsi="宋体" w:eastAsia="仿宋_GB2312"/>
          <w:sz w:val="24"/>
        </w:rPr>
        <w:t>第二十条  委托人应组织编制和报批项目建议书，并负责项目前期工作的评估审查工作，积极配合代建人完成咨询、勘察设计、施工、设备和重要材料采购等合同的审查和确认工作。</w:t>
      </w:r>
    </w:p>
    <w:p>
      <w:pPr>
        <w:pStyle w:val="7"/>
        <w:tabs>
          <w:tab w:val="left" w:pos="1260"/>
        </w:tabs>
        <w:spacing w:line="400" w:lineRule="exact"/>
        <w:ind w:right="0" w:firstLine="480"/>
        <w:rPr>
          <w:rFonts w:ascii="仿宋_GB2312" w:hAnsi="宋体" w:eastAsia="仿宋_GB2312"/>
          <w:sz w:val="24"/>
        </w:rPr>
      </w:pPr>
      <w:r>
        <w:rPr>
          <w:rFonts w:hint="eastAsia" w:ascii="仿宋_GB2312" w:hAnsi="宋体" w:eastAsia="仿宋_GB2312"/>
          <w:sz w:val="24"/>
        </w:rPr>
        <w:t>第二十一条  委托人应按专用合同条款约定审核代建人提出的项目前期工作进度款、工程建设资金和代建管理费支付申请。</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第二十二条  委托人应在专用合同条款约定的时间内就代建人书面提交并要求做出决定的一切事宜给予书面答复。</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第二十三条  委托人应在代建工作完成后，组织对代建人进行客观、全面、公正的绩效评价。</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第二十四条  对于承担项目资金自筹任务的项目业主单位，委托人应建立项目建设专门账户，确保自筹资金的落实和专款专用。</w:t>
      </w:r>
    </w:p>
    <w:p>
      <w:pPr>
        <w:pStyle w:val="7"/>
        <w:tabs>
          <w:tab w:val="left" w:pos="360"/>
        </w:tabs>
        <w:spacing w:line="400" w:lineRule="exact"/>
        <w:ind w:right="0" w:firstLine="480"/>
        <w:rPr>
          <w:rFonts w:ascii="仿宋_GB2312" w:hAnsi="宋体" w:eastAsia="仿宋_GB2312"/>
          <w:sz w:val="24"/>
        </w:rPr>
      </w:pPr>
      <w:r>
        <w:rPr>
          <w:rFonts w:hint="eastAsia" w:ascii="仿宋_GB2312" w:hAnsi="宋体" w:eastAsia="仿宋_GB2312"/>
          <w:sz w:val="24"/>
        </w:rPr>
        <w:t>第二十五条  委托人应授权一名联系人负责本项目的联络工作，如发生变更应及时书面通知合同各方。联系人：</w:t>
      </w:r>
      <w:r>
        <w:rPr>
          <w:rFonts w:hint="eastAsia" w:ascii="仿宋_GB2312" w:hAnsi="宋体" w:eastAsia="仿宋_GB2312"/>
          <w:sz w:val="24"/>
          <w:u w:val="single"/>
        </w:rPr>
        <w:t xml:space="preserve">        </w:t>
      </w:r>
      <w:r>
        <w:rPr>
          <w:rFonts w:hint="eastAsia" w:ascii="仿宋_GB2312" w:hAnsi="宋体" w:eastAsia="仿宋_GB2312"/>
          <w:sz w:val="24"/>
        </w:rPr>
        <w:t>，联系方式及邮箱：</w:t>
      </w:r>
      <w:r>
        <w:rPr>
          <w:rFonts w:hint="eastAsia" w:ascii="仿宋_GB2312" w:hAnsi="宋体" w:eastAsia="仿宋_GB2312"/>
          <w:sz w:val="24"/>
          <w:u w:val="single"/>
        </w:rPr>
        <w:t xml:space="preserve">             </w:t>
      </w:r>
      <w:r>
        <w:rPr>
          <w:rFonts w:hint="eastAsia" w:ascii="仿宋_GB2312" w:hAnsi="宋体" w:eastAsia="仿宋_GB2312"/>
          <w:sz w:val="24"/>
        </w:rPr>
        <w:t>。</w:t>
      </w:r>
    </w:p>
    <w:p>
      <w:pPr>
        <w:pStyle w:val="7"/>
        <w:spacing w:line="400" w:lineRule="exact"/>
        <w:ind w:right="0" w:firstLine="0" w:firstLineChars="0"/>
        <w:jc w:val="center"/>
        <w:rPr>
          <w:rFonts w:ascii="仿宋_GB2312" w:hAnsi="黑体" w:eastAsia="仿宋_GB2312"/>
          <w:bCs/>
          <w:sz w:val="24"/>
        </w:rPr>
      </w:pPr>
      <w:r>
        <w:rPr>
          <w:rFonts w:hint="eastAsia" w:ascii="仿宋_GB2312" w:hAnsi="黑体" w:eastAsia="仿宋_GB2312"/>
          <w:bCs/>
          <w:sz w:val="24"/>
        </w:rPr>
        <w:t>第六章  代建人的义务</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第二十六条  代建人在履行本合同义务期间，应遵守国家有关法律、法规，维护委托人的合法权益。</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第二十七条  代建人应组建能够满足本项目建设管理需要的项目代建经理部，按照建设工作范围和内容完成代建工作，并按专用合同条款约定时间向委托人上报代建管理工作月报，同时抄报市（区）发展改革部门。</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第二十八条  代建人在本合同签订之日起30个工作日内应向委托人提供代建管理实施规划，具体内容包括但不限于：</w:t>
      </w:r>
    </w:p>
    <w:p>
      <w:pPr>
        <w:pStyle w:val="7"/>
        <w:spacing w:line="400" w:lineRule="exact"/>
        <w:ind w:right="0" w:firstLine="482"/>
        <w:rPr>
          <w:rFonts w:ascii="仿宋_GB2312" w:hAnsi="宋体" w:eastAsia="仿宋_GB2312"/>
          <w:sz w:val="24"/>
        </w:rPr>
      </w:pPr>
      <w:r>
        <w:rPr>
          <w:rFonts w:hint="eastAsia" w:ascii="仿宋_GB2312" w:hAnsi="宋体" w:eastAsia="仿宋_GB2312"/>
          <w:b/>
          <w:sz w:val="24"/>
        </w:rPr>
        <w:t>（1）</w:t>
      </w:r>
      <w:r>
        <w:rPr>
          <w:rFonts w:hint="eastAsia" w:ascii="仿宋_GB2312" w:hAnsi="宋体" w:eastAsia="仿宋_GB2312"/>
          <w:b/>
          <w:sz w:val="24"/>
          <w:u w:val="single"/>
        </w:rPr>
        <w:t xml:space="preserve">项目管理组织机构      </w:t>
      </w:r>
      <w:r>
        <w:rPr>
          <w:rFonts w:hint="eastAsia" w:ascii="仿宋_GB2312" w:hAnsi="宋体" w:eastAsia="仿宋_GB2312"/>
          <w:sz w:val="24"/>
          <w:u w:val="single"/>
        </w:rPr>
        <w:t xml:space="preserve">                        。             </w:t>
      </w:r>
    </w:p>
    <w:p>
      <w:pPr>
        <w:pStyle w:val="7"/>
        <w:spacing w:line="400" w:lineRule="exact"/>
        <w:ind w:right="0" w:firstLine="482"/>
        <w:rPr>
          <w:rFonts w:ascii="仿宋_GB2312" w:hAnsi="宋体" w:eastAsia="仿宋_GB2312"/>
          <w:sz w:val="24"/>
        </w:rPr>
      </w:pPr>
      <w:r>
        <w:rPr>
          <w:rFonts w:hint="eastAsia" w:ascii="仿宋_GB2312" w:hAnsi="宋体" w:eastAsia="仿宋_GB2312"/>
          <w:b/>
          <w:sz w:val="24"/>
        </w:rPr>
        <w:t>（2）</w:t>
      </w:r>
      <w:r>
        <w:rPr>
          <w:rFonts w:hint="eastAsia" w:ascii="仿宋_GB2312" w:hAnsi="宋体" w:eastAsia="仿宋_GB2312"/>
          <w:b/>
          <w:sz w:val="24"/>
          <w:u w:val="single"/>
        </w:rPr>
        <w:t>项目代建工作计划</w:t>
      </w:r>
      <w:r>
        <w:rPr>
          <w:rFonts w:hint="eastAsia" w:ascii="仿宋_GB2312" w:hAnsi="宋体" w:eastAsia="仿宋_GB2312"/>
          <w:sz w:val="24"/>
          <w:u w:val="single"/>
        </w:rPr>
        <w:t xml:space="preserve">                              。             </w:t>
      </w:r>
    </w:p>
    <w:p>
      <w:pPr>
        <w:pStyle w:val="7"/>
        <w:spacing w:line="400" w:lineRule="exact"/>
        <w:ind w:right="0" w:firstLine="482"/>
        <w:rPr>
          <w:rFonts w:ascii="仿宋_GB2312" w:hAnsi="宋体" w:eastAsia="仿宋_GB2312"/>
          <w:sz w:val="24"/>
        </w:rPr>
      </w:pPr>
      <w:r>
        <w:rPr>
          <w:rFonts w:hint="eastAsia" w:ascii="仿宋_GB2312" w:hAnsi="宋体" w:eastAsia="仿宋_GB2312"/>
          <w:b/>
          <w:sz w:val="24"/>
        </w:rPr>
        <w:t>（3）</w:t>
      </w:r>
      <w:r>
        <w:rPr>
          <w:rFonts w:hint="eastAsia" w:ascii="仿宋_GB2312" w:hAnsi="宋体" w:eastAsia="仿宋_GB2312"/>
          <w:b/>
          <w:sz w:val="24"/>
          <w:u w:val="single"/>
        </w:rPr>
        <w:t xml:space="preserve">项目代建主要工作内容 </w:t>
      </w:r>
      <w:r>
        <w:rPr>
          <w:rFonts w:hint="eastAsia" w:ascii="仿宋_GB2312" w:hAnsi="宋体" w:eastAsia="仿宋_GB2312"/>
          <w:sz w:val="24"/>
          <w:u w:val="single"/>
        </w:rPr>
        <w:t xml:space="preserve">                         。             </w:t>
      </w:r>
    </w:p>
    <w:p>
      <w:pPr>
        <w:pStyle w:val="7"/>
        <w:spacing w:line="400" w:lineRule="exact"/>
        <w:ind w:right="0" w:firstLine="482"/>
        <w:rPr>
          <w:rFonts w:ascii="仿宋_GB2312" w:hAnsi="宋体" w:eastAsia="仿宋_GB2312"/>
          <w:sz w:val="24"/>
        </w:rPr>
      </w:pPr>
      <w:r>
        <w:rPr>
          <w:rFonts w:hint="eastAsia" w:ascii="仿宋_GB2312" w:hAnsi="宋体" w:eastAsia="仿宋_GB2312"/>
          <w:b/>
          <w:sz w:val="24"/>
        </w:rPr>
        <w:t>（4）</w:t>
      </w:r>
      <w:r>
        <w:rPr>
          <w:rFonts w:hint="eastAsia" w:ascii="仿宋_GB2312" w:hAnsi="宋体" w:eastAsia="仿宋_GB2312"/>
          <w:b/>
          <w:sz w:val="24"/>
          <w:u w:val="single"/>
        </w:rPr>
        <w:t xml:space="preserve">项目关键节点控制措施  </w:t>
      </w:r>
      <w:r>
        <w:rPr>
          <w:rFonts w:hint="eastAsia" w:ascii="仿宋_GB2312" w:hAnsi="宋体" w:eastAsia="仿宋_GB2312"/>
          <w:sz w:val="24"/>
          <w:u w:val="single"/>
        </w:rPr>
        <w:t xml:space="preserve">                        。             </w:t>
      </w:r>
    </w:p>
    <w:p>
      <w:pPr>
        <w:pStyle w:val="7"/>
        <w:spacing w:line="400" w:lineRule="exact"/>
        <w:ind w:right="0" w:firstLine="482"/>
        <w:rPr>
          <w:rFonts w:ascii="仿宋_GB2312" w:hAnsi="宋体" w:eastAsia="仿宋_GB2312"/>
          <w:sz w:val="24"/>
        </w:rPr>
      </w:pPr>
      <w:r>
        <w:rPr>
          <w:rFonts w:hint="eastAsia" w:ascii="仿宋_GB2312" w:hAnsi="宋体" w:eastAsia="仿宋_GB2312"/>
          <w:b/>
          <w:sz w:val="24"/>
        </w:rPr>
        <w:t>（5）</w:t>
      </w:r>
      <w:r>
        <w:rPr>
          <w:rFonts w:hint="eastAsia" w:ascii="仿宋_GB2312" w:hAnsi="宋体" w:eastAsia="仿宋_GB2312"/>
          <w:b/>
          <w:sz w:val="24"/>
          <w:u w:val="single"/>
        </w:rPr>
        <w:t xml:space="preserve">项目各项管理目标（主要为投资、质量、安全生产、工期进度、合同及信息、财务管理等）   </w:t>
      </w:r>
      <w:r>
        <w:rPr>
          <w:rFonts w:hint="eastAsia" w:ascii="仿宋_GB2312" w:hAnsi="宋体" w:eastAsia="仿宋_GB2312"/>
          <w:sz w:val="24"/>
          <w:u w:val="single"/>
        </w:rPr>
        <w:t xml:space="preserve">                  。                  </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第二十九条  代建人应办理项目规划设计条件，配合提供项目征地所需的立项及规划选址资料，负责组织编制和报批项目环评、节能减排、可行性研究报告等前期审批手续。</w:t>
      </w:r>
    </w:p>
    <w:p>
      <w:pPr>
        <w:widowControl/>
        <w:spacing w:line="400" w:lineRule="exact"/>
        <w:ind w:firstLine="480" w:firstLineChars="200"/>
        <w:rPr>
          <w:rFonts w:ascii="仿宋_GB2312" w:eastAsia="仿宋_GB2312"/>
          <w:sz w:val="24"/>
        </w:rPr>
      </w:pPr>
      <w:r>
        <w:rPr>
          <w:rFonts w:hint="eastAsia" w:ascii="仿宋_GB2312" w:hAnsi="宋体" w:eastAsia="仿宋_GB2312"/>
          <w:sz w:val="24"/>
        </w:rPr>
        <w:t>第三十条  代建人应按可行性研究报告批准的建设内容和投资规模进行限额设计和报批，并根据批准的初步设计及概算，组织施工图设计和编制工程预算，工程预算须提交市（区）财政部门评审。初步设计及概算一经批准，原则上不得调整，</w:t>
      </w:r>
      <w:r>
        <w:rPr>
          <w:rFonts w:hint="eastAsia" w:ascii="仿宋_GB2312" w:eastAsia="仿宋_GB2312"/>
          <w:sz w:val="24"/>
        </w:rPr>
        <w:t>有下列情形之一的，由代建单位提出，经项目业主同意，并报市（区）政府批准后可作调整：(一)资源、水文地质、工程地质情况有重大变化，引起建设方案变动的；(二)不可抗力导致重大损失的；(三)国家统一调整价格，引起动态概算发生重大变化的；(四)国家相关政策有重大调整的；(五)设计有重大修改的。</w:t>
      </w:r>
    </w:p>
    <w:p>
      <w:pPr>
        <w:pStyle w:val="7"/>
        <w:spacing w:line="400" w:lineRule="exact"/>
        <w:ind w:right="0" w:firstLine="480"/>
        <w:rPr>
          <w:rFonts w:ascii="仿宋_GB2312" w:hAnsi="宋体" w:eastAsia="仿宋_GB2312"/>
          <w:sz w:val="24"/>
        </w:rPr>
      </w:pPr>
      <w:r>
        <w:rPr>
          <w:rFonts w:hint="eastAsia" w:ascii="仿宋_GB2312" w:eastAsia="仿宋_GB2312"/>
          <w:sz w:val="24"/>
        </w:rPr>
        <w:t>初步设计及概算超过可行性研究报告批准投资估算10%以上的，</w:t>
      </w:r>
      <w:r>
        <w:rPr>
          <w:rFonts w:hint="eastAsia" w:ascii="仿宋_GB2312" w:hAnsi="宋体" w:eastAsia="仿宋_GB2312"/>
          <w:sz w:val="24"/>
        </w:rPr>
        <w:t>可行性研究报告应由代建人重新编制报批。经批准的工程概算是项目投资控制和对代建人考核的依据。在可行性研究报告由代建人重新编制报批的过程中，如地灾、节能、环评、水保及项目规划设计条件发生重大改变时，委托人应重新进行立项。</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第三十一条  代建人应协助土地、规划、住建部门和项目所在辖区政府，落实项目的建设用地和征地拆迁工作，并负责办理规划报建、施工许可、竣工验收备案、工程结（决）算、移交和组织保修等工作。</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第三十二条  代建人应按批准的建设规模、建设内容和建设标准实施组织管理，严格控制项目投资，确保工程质量，按期交付使用。代建人不得在实施过程中利用洽商或者补签其他协议等方式随意变更建设规模、建设标准、建设内容和投资额。因技术、水文、地质等原因必须进行设计变更的，应按《三亚市政府投资建设项目设计变更管理规定》等有关设计变更管理的规定办理相关手续。</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第三十三条  代建人应按有关规定选择专业工作单位，并接受委托人和市政府相关部门监督。代建人签订的咨询、勘察、设计、施工、设备和重要材料采购等合同应报委托人审查和确认。</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第三十四条  代建人应根据项目进度需要，向委托人提出资金使用计划审核申请。经委托人审核同意后，代建人方可向市（区）财政部门提交资金拨付申请。</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第三十五条  代建人应严格执行国家有关基本建设财务管理制度，并接受委托人和市政府相关部门的监督。</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第三十六条  代建人应严格执行有关安全生产管理规定，督促各专业工作单位做好安全生产管理工作，并接受委托人及政府相关部门的监督。</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第三十七条  在委托人协助下，办理在代建管理范围内与建设项目有关各项审批手续。</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第三十八条  代建人应在项目建成后，先行组织各参建单位进行竣工初验，到达竣工验收条件后协助委托人组织竣工验收。在验收过程中参与验收单位提出的合理验收意见，代建人应按规定期限组织整改完毕，并将最终验收合格的项目在保修期满后向委托人办理移交手续。</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第三十九条  代建人应在项目移交前，与相关承包商签订质量保修服务协议。</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第四十条  代建人应在项目移交后，根据使用管养情况，及时组织质量保修期内的维修工作。</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第四十一条  代建人应建立完整的代建项目建设档案。在代建项目完成后将工程档案、财务档案及相关资料向委托人和政府有关部门移交。</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第四十二条  在合同期内或合同终止后，未征得委托人同意，不得泄露与本工程、本合同业务有关的保密资料。代建人违反此项规定而造成损失的，由代建人全权承担，产生严重后果的，将依法追究代建单位责任。</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第四十三条  代建人所使用的属委托人提供的设施和物品，在代建工作完成或中止时，应当将其设施和剩余的物品按合同约定的时间和方式移交给委托人。</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第四十四条  代建人的项目经理：</w:t>
      </w:r>
      <w:r>
        <w:rPr>
          <w:rFonts w:hint="eastAsia" w:ascii="仿宋_GB2312" w:hAnsi="宋体" w:eastAsia="仿宋_GB2312"/>
          <w:sz w:val="24"/>
          <w:u w:val="single"/>
        </w:rPr>
        <w:t xml:space="preserve">           </w:t>
      </w:r>
      <w:r>
        <w:rPr>
          <w:rFonts w:hint="eastAsia" w:ascii="仿宋_GB2312" w:hAnsi="宋体" w:eastAsia="仿宋_GB2312"/>
          <w:sz w:val="24"/>
        </w:rPr>
        <w:t>，联系方式及邮箱：</w:t>
      </w:r>
      <w:r>
        <w:rPr>
          <w:rFonts w:hint="eastAsia" w:ascii="仿宋_GB2312" w:hAnsi="宋体" w:eastAsia="仿宋_GB2312"/>
          <w:sz w:val="24"/>
          <w:u w:val="single"/>
        </w:rPr>
        <w:t xml:space="preserve">           </w:t>
      </w:r>
      <w:r>
        <w:rPr>
          <w:rFonts w:hint="eastAsia" w:ascii="仿宋_GB2312" w:hAnsi="宋体" w:eastAsia="仿宋_GB2312"/>
          <w:sz w:val="24"/>
        </w:rPr>
        <w:t>。(如在代建项目期间更换代建项目经理，代建人须报委托人和市（区）发展和改革部门备案)</w:t>
      </w:r>
    </w:p>
    <w:p>
      <w:pPr>
        <w:pStyle w:val="7"/>
        <w:spacing w:line="400" w:lineRule="exact"/>
        <w:ind w:right="0" w:firstLine="0" w:firstLineChars="0"/>
        <w:jc w:val="center"/>
        <w:rPr>
          <w:rFonts w:ascii="仿宋_GB2312" w:hAnsi="黑体" w:eastAsia="仿宋_GB2312"/>
          <w:bCs/>
          <w:sz w:val="24"/>
        </w:rPr>
      </w:pPr>
      <w:r>
        <w:rPr>
          <w:rFonts w:hint="eastAsia" w:ascii="仿宋_GB2312" w:hAnsi="黑体" w:eastAsia="仿宋_GB2312"/>
          <w:bCs/>
          <w:sz w:val="24"/>
        </w:rPr>
        <w:t>第七章  项目设计变更</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第四十五条  《三亚市政府投资建设项目设计变更管理规定》等市政府颁布的有关设计变更管理的规定，为委托人和代建人在项目执行过程中进行设计变更管理的依据。</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第四十六条  涉及本项目技术标准、使用功能、建设规模和投资规模的变更，以及概算计列的大宗材料、分项工程单价明显低于市场价时，由代建人上报委托人审核，并按报政府相关部门核准后的技术标准、使用功能、建设规模和投资规模以及建材价格执行。</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第四十七条  若由于非代建人的原因发生项目变更，并由此造成费用增加和工期延长，在代建人提出经委托人同意并报市政府批准后，应调整代建人的投资控制目标和工期控制目标。非代建人的原因主要为下列情形：</w:t>
      </w:r>
    </w:p>
    <w:p>
      <w:pPr>
        <w:pStyle w:val="7"/>
        <w:numPr>
          <w:ilvl w:val="0"/>
          <w:numId w:val="5"/>
        </w:numPr>
        <w:spacing w:line="400" w:lineRule="exact"/>
        <w:ind w:right="0" w:firstLine="480"/>
        <w:rPr>
          <w:rFonts w:ascii="仿宋_GB2312" w:hAnsi="宋体" w:eastAsia="仿宋_GB2312"/>
          <w:sz w:val="24"/>
        </w:rPr>
      </w:pPr>
      <w:r>
        <w:rPr>
          <w:rFonts w:hint="eastAsia" w:ascii="仿宋_GB2312" w:hAnsi="宋体" w:eastAsia="仿宋_GB2312"/>
          <w:sz w:val="24"/>
        </w:rPr>
        <w:t>资源、水文地质、工程地质情况有重大变化，引起建设方案变动的；</w:t>
      </w:r>
    </w:p>
    <w:p>
      <w:pPr>
        <w:pStyle w:val="7"/>
        <w:numPr>
          <w:ilvl w:val="0"/>
          <w:numId w:val="5"/>
        </w:numPr>
        <w:spacing w:line="400" w:lineRule="exact"/>
        <w:ind w:right="0" w:firstLine="480"/>
        <w:rPr>
          <w:rFonts w:ascii="仿宋_GB2312" w:hAnsi="宋体" w:eastAsia="仿宋_GB2312"/>
          <w:sz w:val="24"/>
        </w:rPr>
      </w:pPr>
      <w:r>
        <w:rPr>
          <w:rFonts w:hint="eastAsia" w:ascii="仿宋_GB2312" w:hAnsi="宋体" w:eastAsia="仿宋_GB2312"/>
          <w:sz w:val="24"/>
        </w:rPr>
        <w:t>不可抗力导致重大损失的；</w:t>
      </w:r>
    </w:p>
    <w:p>
      <w:pPr>
        <w:pStyle w:val="7"/>
        <w:numPr>
          <w:ilvl w:val="0"/>
          <w:numId w:val="5"/>
        </w:numPr>
        <w:spacing w:line="400" w:lineRule="exact"/>
        <w:ind w:right="0" w:firstLine="480"/>
        <w:rPr>
          <w:rFonts w:ascii="仿宋_GB2312" w:hAnsi="宋体" w:eastAsia="仿宋_GB2312"/>
          <w:sz w:val="24"/>
        </w:rPr>
      </w:pPr>
      <w:r>
        <w:rPr>
          <w:rFonts w:hint="eastAsia" w:ascii="仿宋_GB2312" w:hAnsi="宋体" w:eastAsia="仿宋_GB2312"/>
          <w:sz w:val="24"/>
        </w:rPr>
        <w:t>国家统一调整价格，引起动态概算发生重大变化的；</w:t>
      </w:r>
    </w:p>
    <w:p>
      <w:pPr>
        <w:pStyle w:val="7"/>
        <w:numPr>
          <w:ilvl w:val="0"/>
          <w:numId w:val="5"/>
        </w:numPr>
        <w:spacing w:line="400" w:lineRule="exact"/>
        <w:ind w:right="0" w:firstLine="480"/>
        <w:rPr>
          <w:rFonts w:ascii="仿宋_GB2312" w:hAnsi="宋体" w:eastAsia="仿宋_GB2312"/>
          <w:sz w:val="24"/>
        </w:rPr>
      </w:pPr>
      <w:r>
        <w:rPr>
          <w:rFonts w:hint="eastAsia" w:ascii="仿宋_GB2312" w:hAnsi="宋体" w:eastAsia="仿宋_GB2312"/>
          <w:sz w:val="24"/>
        </w:rPr>
        <w:t>国家相关政策有重大调整的；</w:t>
      </w:r>
    </w:p>
    <w:p>
      <w:pPr>
        <w:pStyle w:val="7"/>
        <w:numPr>
          <w:ilvl w:val="0"/>
          <w:numId w:val="5"/>
        </w:numPr>
        <w:spacing w:line="400" w:lineRule="exact"/>
        <w:ind w:right="0" w:firstLine="480"/>
        <w:rPr>
          <w:rFonts w:ascii="仿宋_GB2312" w:hAnsi="宋体" w:eastAsia="仿宋_GB2312"/>
          <w:sz w:val="24"/>
        </w:rPr>
      </w:pPr>
      <w:r>
        <w:rPr>
          <w:rFonts w:hint="eastAsia" w:ascii="仿宋_GB2312" w:hAnsi="宋体" w:eastAsia="仿宋_GB2312"/>
          <w:sz w:val="24"/>
        </w:rPr>
        <w:t>设计有重大修改的。</w:t>
      </w:r>
    </w:p>
    <w:p>
      <w:pPr>
        <w:pStyle w:val="7"/>
        <w:spacing w:line="400" w:lineRule="exact"/>
        <w:ind w:right="0" w:firstLine="0" w:firstLineChars="0"/>
        <w:jc w:val="center"/>
        <w:rPr>
          <w:rFonts w:ascii="仿宋_GB2312" w:hAnsi="黑体" w:eastAsia="仿宋_GB2312"/>
          <w:bCs/>
          <w:sz w:val="24"/>
        </w:rPr>
      </w:pPr>
      <w:r>
        <w:rPr>
          <w:rFonts w:hint="eastAsia" w:ascii="仿宋_GB2312" w:hAnsi="黑体" w:eastAsia="仿宋_GB2312"/>
          <w:bCs/>
          <w:sz w:val="24"/>
        </w:rPr>
        <w:t>第八章  工程竣工验收、移交及工程质量保修</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第四十八条  工程项目竣工后，代建人应及时组织各参建单位编制工程竣工决算报委托人和相关部门审核。</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第四十九条  工程验收的标准执行国家相关技术和验收规范的规定。</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第五十条  工程项目实行验收制度，工程完工具备验收条件的，由代建人按国家有关规定组织完成各专项验收和工程质量验收后，报委托人并协助其组织竣工验收，以验收合格的会议日期为工程竣工验收基准日。</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第五十一条  竣工移交时间、范围和内容</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（1）在工程竣工验收后</w:t>
      </w:r>
      <w:r>
        <w:rPr>
          <w:rFonts w:hint="eastAsia" w:ascii="仿宋_GB2312" w:hAnsi="宋体" w:eastAsia="仿宋_GB2312"/>
          <w:sz w:val="24"/>
          <w:u w:val="single"/>
        </w:rPr>
        <w:t>30</w:t>
      </w:r>
      <w:r>
        <w:rPr>
          <w:rFonts w:hint="eastAsia" w:ascii="仿宋_GB2312" w:hAnsi="宋体" w:eastAsia="仿宋_GB2312"/>
          <w:sz w:val="24"/>
        </w:rPr>
        <w:t>日内，由委托人、代建人开始进行工程实体移交工作，如因特殊情况需提前使用的，应符合提前使用的有关规定，代建人应与</w:t>
      </w:r>
      <w:r>
        <w:rPr>
          <w:rFonts w:hint="eastAsia" w:ascii="仿宋_GB2312" w:hAnsi="宋体" w:eastAsia="仿宋_GB2312"/>
          <w:sz w:val="24"/>
          <w:u w:val="single"/>
        </w:rPr>
        <w:t>委托人</w:t>
      </w:r>
      <w:r>
        <w:rPr>
          <w:rFonts w:hint="eastAsia" w:ascii="仿宋_GB2312" w:hAnsi="宋体" w:eastAsia="仿宋_GB2312"/>
          <w:sz w:val="24"/>
        </w:rPr>
        <w:t>协商一致并及时完善各种手续。</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（2）工程实体移交工作完成后</w:t>
      </w:r>
      <w:r>
        <w:rPr>
          <w:rFonts w:hint="eastAsia" w:ascii="仿宋_GB2312" w:hAnsi="宋体" w:eastAsia="仿宋_GB2312"/>
          <w:sz w:val="24"/>
          <w:u w:val="single"/>
        </w:rPr>
        <w:t>30</w:t>
      </w:r>
      <w:r>
        <w:rPr>
          <w:rFonts w:hint="eastAsia" w:ascii="仿宋_GB2312" w:hAnsi="宋体" w:eastAsia="仿宋_GB2312"/>
          <w:sz w:val="24"/>
        </w:rPr>
        <w:t>日内完成工程档案的移交工作。</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第五十二条  工程质量保修</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（1）项目移交后，在质保期内的缺陷维护、维修、测试、服务等事宜由代建人负责处理，质保期满后主要由委托人负责各项事宜，同时核拨质量保证金和代建管理费，代建单位进行配合。</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（2）工程质量及保修期责任根据中华人民共和国《建设工程质量管理条例》等有关规定在施工合同中约定执行。</w:t>
      </w:r>
    </w:p>
    <w:p>
      <w:pPr>
        <w:pStyle w:val="7"/>
        <w:spacing w:line="400" w:lineRule="exact"/>
        <w:ind w:right="0" w:firstLine="0" w:firstLineChars="0"/>
        <w:jc w:val="center"/>
        <w:rPr>
          <w:rFonts w:ascii="仿宋_GB2312" w:hAnsi="黑体" w:eastAsia="仿宋_GB2312"/>
          <w:bCs/>
          <w:sz w:val="24"/>
        </w:rPr>
      </w:pPr>
      <w:r>
        <w:rPr>
          <w:rFonts w:hint="eastAsia" w:ascii="仿宋_GB2312" w:hAnsi="黑体" w:eastAsia="仿宋_GB2312"/>
          <w:bCs/>
          <w:sz w:val="24"/>
        </w:rPr>
        <w:t>第九章  代建报酬</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第五十三条  代建管理费</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是指正常的代建工作报酬。代建人从合同生效之日起至质保期终止之日止发生的开办费、企业管理费、临时设施费、利润和税金。包括：工作人员工资、基本养老保险费、基本医疗保险费、失业保险费，办公费、差旅交通费（不包括考察费）、劳动保护费、工具用具使用费、固定资产使用费、零星购置费、招募生产工人费、技术图书资料费、印花税、业务招待费、施工现场津贴、临时设施费、利润和税金、其他管理性质开支和政府的奖励酬金。不包括代建项目可行性研究、初步设计及概算、招标代理、施工图设计、预算、勘察和监理等咨询服务费用。代建管理费计入项目初步设计及概算。代建管理费按照合同专用条款约定的方法计算，并按约定的时间和数额支付。</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第五十四条  附加工作的报酬及项目投资节余、优良工程等奖励酬金，按照合同专用条款约定的方法计算，并按约定的时间和数额支付。</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第五十五条  如果委托人在规定的支付期限内如无正当的原因未支付代建报酬，自规定的支付之日起，还应当向代建人按合同专用条款利息（不低于同期银行活期利息）支付滞纳金。滞纳金从规定支付期限最后一日起计算。</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第五十六条  如果委托人对代建人提交的支付通知中报酬或部分报酬项目提出异议，应当在收到支付通知书</w:t>
      </w:r>
      <w:r>
        <w:rPr>
          <w:rFonts w:hint="eastAsia" w:ascii="仿宋_GB2312" w:hAnsi="宋体" w:eastAsia="仿宋_GB2312"/>
          <w:sz w:val="24"/>
          <w:u w:val="single"/>
        </w:rPr>
        <w:t xml:space="preserve"> 5</w:t>
      </w:r>
      <w:r>
        <w:rPr>
          <w:rFonts w:hint="eastAsia" w:ascii="仿宋_GB2312" w:hAnsi="宋体" w:eastAsia="仿宋_GB2312"/>
          <w:sz w:val="24"/>
        </w:rPr>
        <w:t>个工作日内向代建人发出表示异议的通知，但委托人不得拖延其他无异议报酬项目的支付。</w:t>
      </w:r>
    </w:p>
    <w:p>
      <w:pPr>
        <w:pStyle w:val="7"/>
        <w:spacing w:line="400" w:lineRule="exact"/>
        <w:ind w:right="0" w:firstLine="0" w:firstLineChars="0"/>
        <w:jc w:val="center"/>
        <w:rPr>
          <w:rFonts w:ascii="仿宋_GB2312" w:hAnsi="黑体" w:eastAsia="仿宋_GB2312"/>
          <w:bCs/>
          <w:sz w:val="24"/>
        </w:rPr>
      </w:pPr>
      <w:r>
        <w:rPr>
          <w:rFonts w:hint="eastAsia" w:ascii="仿宋_GB2312" w:hAnsi="黑体" w:eastAsia="仿宋_GB2312"/>
          <w:bCs/>
          <w:sz w:val="24"/>
        </w:rPr>
        <w:t>第十章  违约责任</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第五十七条  合同各方应全面实际地履行本合同约定的各项合同义务，任何未按合同的约定履行或未适当履行的行为，应视为违约，并承担相应的违约责任。</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第五十八条  委托人未能按照本合同的规定履行相关合同义务，同意按以下办法承担责任，并赔偿代建人损失：</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（1）委托人未能按本合同约定及时提供项目前期工作资料及立项文件，导致工期延误的，工期顺延，应支付代建人附加工作的报酬。</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（2）委托人未按合同条款约定及《三亚市政府投资建设项目代建制管理办法》向代建人核拨项目前期费、工程建设资金和代建管理费，造成工期延误的，工期顺延，并支付代建人附加工作的报酬。</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（3）委托人未按合同约定的时间内就代建人书面提交并要求做出决定的事宜给予书面答复的，视为同意代建人的要求。</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 xml:space="preserve">（4）因委托人或政府原因造成项目建设内容、建设规模、建设标准发生变化，项目实际建设投资金额超过投资控制金额和批准新增概算的，超出费用不由代建人承担，委托人应配合代建人完成调概编制、报批和做好相关说明。 </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 xml:space="preserve">（5）对自筹建设项目，未按有关规定向代建人拨付差额款或自筹的部分资金，委托人负责承担由此而产生的经济损失，造成工期延误的，工期顺延。 </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（6）项目业主单位未按要求或合同约定配合代建单位完成相关工作，致使项目进度严重滞后的，或不及时接收已验收合格项目的，按有关规定承担相应责任。</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（7）委托人未按《三亚市政府投资建设项目代建制管理办法》规定履行项目业主单位职责而造成经济损失或工期延误的，委托人负责承担由此而产生的经济损失，工期顺延，并支付代建人附加工作的报酬。</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第五十九条  代建人在代建管理责任期内承担相应的“建设单位（业主）”责任，如因自身原因导致项目工作未能按约定进行并完成。同意按以下办法承担责任，并赔偿委托人损失：</w:t>
      </w:r>
    </w:p>
    <w:p>
      <w:pPr>
        <w:pStyle w:val="7"/>
        <w:numPr>
          <w:ilvl w:val="0"/>
          <w:numId w:val="6"/>
        </w:numPr>
        <w:spacing w:line="400" w:lineRule="exact"/>
        <w:ind w:right="0" w:firstLine="480"/>
        <w:rPr>
          <w:rFonts w:ascii="仿宋_GB2312" w:hAnsi="宋体" w:eastAsia="仿宋_GB2312"/>
          <w:sz w:val="24"/>
        </w:rPr>
      </w:pPr>
      <w:r>
        <w:rPr>
          <w:rFonts w:hint="eastAsia" w:ascii="仿宋_GB2312" w:hAnsi="宋体" w:eastAsia="仿宋_GB2312"/>
          <w:sz w:val="24"/>
        </w:rPr>
        <w:t>代建人非因政府或项目业主原因造成工程损失和代建人擅自变更项目建设内容、规模、标准以及虚高概算的，依法追究责任，超出部分全部由代建人负责赔偿，情节严重的禁止五年内参与本市政府投资项目的工程建设工作。</w:t>
      </w:r>
    </w:p>
    <w:p>
      <w:pPr>
        <w:pStyle w:val="7"/>
        <w:numPr>
          <w:ilvl w:val="0"/>
          <w:numId w:val="6"/>
        </w:numPr>
        <w:spacing w:line="400" w:lineRule="exact"/>
        <w:ind w:right="0" w:firstLine="480"/>
        <w:rPr>
          <w:rFonts w:ascii="仿宋_GB2312" w:hAnsi="宋体" w:eastAsia="仿宋_GB2312"/>
          <w:sz w:val="24"/>
        </w:rPr>
      </w:pPr>
      <w:r>
        <w:rPr>
          <w:rFonts w:hint="eastAsia" w:ascii="仿宋_GB2312" w:hAnsi="宋体" w:eastAsia="仿宋_GB2312"/>
          <w:sz w:val="24"/>
        </w:rPr>
        <w:t>代建人非因政府或项目业主原因造成建安工程结算造价超过概算建安工程费的，超出的建安工程结算价款由代建人负责承担。</w:t>
      </w:r>
    </w:p>
    <w:p>
      <w:pPr>
        <w:pStyle w:val="7"/>
        <w:numPr>
          <w:ilvl w:val="0"/>
          <w:numId w:val="6"/>
        </w:numPr>
        <w:spacing w:line="400" w:lineRule="exact"/>
        <w:ind w:right="0" w:firstLine="480"/>
        <w:rPr>
          <w:rFonts w:ascii="仿宋_GB2312" w:hAnsi="宋体" w:eastAsia="仿宋_GB2312"/>
          <w:sz w:val="24"/>
        </w:rPr>
      </w:pPr>
      <w:r>
        <w:rPr>
          <w:rFonts w:hint="eastAsia" w:ascii="仿宋_GB2312" w:hAnsi="宋体" w:eastAsia="仿宋_GB2312"/>
          <w:sz w:val="24"/>
        </w:rPr>
        <w:t>代建人非因政府或项目业主原因且未按本合同规定完成项目代建的，对违约信息进行公示并记入不良记录管理档案，禁止三到五年内参与本市政府投资项目的工程建设工作，情节严重应当解除与代建人订立的合同，由项目业主单位通过直接委托或招标等方式选择新的代建人。</w:t>
      </w:r>
    </w:p>
    <w:p>
      <w:pPr>
        <w:pStyle w:val="7"/>
        <w:numPr>
          <w:ilvl w:val="0"/>
          <w:numId w:val="6"/>
        </w:numPr>
        <w:spacing w:line="400" w:lineRule="exact"/>
        <w:ind w:right="0" w:firstLine="480" w:firstLineChars="0"/>
        <w:rPr>
          <w:rFonts w:ascii="仿宋_GB2312" w:hAnsi="宋体" w:eastAsia="仿宋_GB2312"/>
          <w:sz w:val="24"/>
        </w:rPr>
      </w:pPr>
      <w:r>
        <w:rPr>
          <w:rFonts w:hint="eastAsia" w:ascii="仿宋_GB2312" w:hAnsi="宋体" w:eastAsia="仿宋_GB2312"/>
          <w:sz w:val="24"/>
        </w:rPr>
        <w:t>根据《三亚市政府投资项目代建单位信用评价办法》和代建入库、清退机制的有关规定，代建人承担的代建项目需接受市（区）发展和改革部门组织的日常考核和年度信用评价。如代建人未按本合同约定履行代建人的职责、没有完成代建项目各项管理目标或在日常、年度考核中不达标，或是在管理过程中发现代建人严重违反有关资质执业办法、职业道德、行为准则和市场竞争规则的，以及采取不正当竞争手段损害其他代建单位利益的，则委托人有权解除代建合同，并将代建人出现的问题及处理建议报送市（区）发展和改革部门。</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（5）工程质量未达到合同约定的质量标准，代建人有责任进行整改直至达到约定的工程质量标准为止，整改费用由代建人负责承担。</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6）因代建人的组织协调、质量安全整改等出现过错造成未按约定工期（以施工工期目标中约定的工期为准）完成代建工作，每延误一天，按该项目应收代建管理费的1‰赔偿，但最多不超过代建管理费的30%。如工期延长超过三个月的，委托人有权解除合同，并将其记入代建不良记录管理档案。</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7）在施工条件均已具备的条件下，代建人没有合理原因使项目未能在目标工期内交付使用，每延迟1天，委托人扣罚代建人的项目代建管理费1万元（最高不超过代建管理费的30%），但因不可抗力、政府行为或由于委托人原因而发生的除外。</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8）经市安全监管部门认定代建人负有安全责任时，代建期间出现一般安全事故的，扣代建管理费总额的5％；出现较大安全事故的，扣代建管理费总额的10％；出现重大安全事故的，扣代建管理费总额的20％；出现特别重大安全事故或两起以上相同性质的重大安全事故的，扣代建管理费总额的30％。同时记入代建不良记录管理档案，其附带责任按国家有关规定执行。</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（9）发生一般质量事故的，其违约赔偿金按代建管理费的    5%计扣；发生严重质量事故的，其违约赔偿金按代建管理费的    10%计扣；发生重大质量事故的，其违约赔偿金按代建管理费的    20%计扣；发生</w:t>
      </w:r>
      <w:r>
        <w:rPr>
          <w:rFonts w:ascii="仿宋_GB2312" w:hAnsi="宋体" w:eastAsia="仿宋_GB2312"/>
          <w:sz w:val="24"/>
        </w:rPr>
        <w:t>特别重大</w:t>
      </w:r>
      <w:r>
        <w:rPr>
          <w:rFonts w:hint="eastAsia" w:ascii="仿宋_GB2312" w:hAnsi="宋体" w:eastAsia="仿宋_GB2312"/>
          <w:sz w:val="24"/>
        </w:rPr>
        <w:t>质量</w:t>
      </w:r>
      <w:r>
        <w:rPr>
          <w:rFonts w:ascii="仿宋_GB2312" w:hAnsi="宋体" w:eastAsia="仿宋_GB2312"/>
          <w:sz w:val="24"/>
        </w:rPr>
        <w:t>事故</w:t>
      </w:r>
      <w:r>
        <w:rPr>
          <w:rFonts w:hint="eastAsia" w:ascii="仿宋_GB2312" w:hAnsi="宋体" w:eastAsia="仿宋_GB2312"/>
          <w:sz w:val="24"/>
        </w:rPr>
        <w:t>或两起以上相同性质的重大质量事故的，其违约赔偿金按代建管理费的30%计扣。同时记入代建不良记录管理档案，其附带责任按国家有关规定执行。</w:t>
      </w:r>
    </w:p>
    <w:p>
      <w:pPr>
        <w:pStyle w:val="7"/>
        <w:spacing w:line="400" w:lineRule="exact"/>
        <w:ind w:right="0" w:firstLine="480"/>
        <w:rPr>
          <w:rFonts w:ascii="仿宋_GB2312" w:hAnsi="宋体" w:eastAsia="仿宋_GB2312"/>
          <w:sz w:val="24"/>
          <w:u w:val="single"/>
        </w:rPr>
      </w:pPr>
      <w:r>
        <w:rPr>
          <w:rFonts w:hint="eastAsia" w:ascii="仿宋_GB2312" w:hAnsi="宋体" w:eastAsia="仿宋_GB2312"/>
          <w:sz w:val="24"/>
        </w:rPr>
        <w:t>（10）代建人应对其委托的咨询、设计及相关专业工作单位负责监督指导，并就其工作失误对委托人负连带责任。</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（11）当代建人未履行全部或部分代建义务，委托人可发出警告直至解除合同，代建人承担违约责任。</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12）代建人未按《三亚市政府投资建设项目代建制管理办法》做好项目代建单位职责的其他情况而造成产生经济损失或工期延误的，代建人负责承担由此而产生的经济损失，并赔偿由此给委托人带来的其他损失。</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13）代建人存在与项目有关的违法、违规、违纪行为的，委托人有权单方面解除合同，代建人除负责退回非法所得外，还应按非法所得金额的10%向委托人支付违约金，如造成委托人损失的应赔偿相应的损失，触犯法律的将追究相关法律责任。</w:t>
      </w:r>
    </w:p>
    <w:p>
      <w:pPr>
        <w:pStyle w:val="7"/>
        <w:spacing w:line="400" w:lineRule="exact"/>
        <w:ind w:right="0" w:firstLine="0" w:firstLineChars="0"/>
        <w:jc w:val="center"/>
        <w:rPr>
          <w:rFonts w:ascii="仿宋_GB2312" w:hAnsi="黑体" w:eastAsia="仿宋_GB2312"/>
          <w:bCs/>
          <w:sz w:val="24"/>
        </w:rPr>
      </w:pPr>
      <w:r>
        <w:rPr>
          <w:rFonts w:hint="eastAsia" w:ascii="仿宋_GB2312" w:hAnsi="黑体" w:eastAsia="仿宋_GB2312"/>
          <w:bCs/>
          <w:sz w:val="24"/>
        </w:rPr>
        <w:t>第十一章  不可抗力</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第六十条  因不可抗力导致合同不能全部或部分履行，合同双方应协商解决。</w:t>
      </w:r>
    </w:p>
    <w:p>
      <w:pPr>
        <w:pStyle w:val="7"/>
        <w:spacing w:line="400" w:lineRule="exact"/>
        <w:ind w:right="0" w:firstLine="0" w:firstLineChars="0"/>
        <w:jc w:val="center"/>
        <w:rPr>
          <w:rFonts w:ascii="仿宋_GB2312" w:hAnsi="黑体" w:eastAsia="仿宋_GB2312"/>
          <w:bCs/>
          <w:sz w:val="24"/>
        </w:rPr>
      </w:pPr>
      <w:r>
        <w:rPr>
          <w:rFonts w:hint="eastAsia" w:ascii="仿宋_GB2312" w:hAnsi="黑体" w:eastAsia="仿宋_GB2312"/>
          <w:bCs/>
          <w:sz w:val="24"/>
        </w:rPr>
        <w:t>第十二章  合同生效、变更与终止</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第六十一条  本合同自市（区）发展改革部门备案完成之日起生效。</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第六十二条  由于委托人原因，使代建工作受到阻碍，发生延误、暂停或终止，委托人应将此情况可能产生的影响或解决方案及时通知代建人并采取相应的措施。代建人完成代建业务的时间相应延长，并得到附加工作的报酬。由于委托人未采取相应措施，在代建人向委托人进行书面报告后，代建人可继续暂停执行全部或部分代建业务，直至提出解除合同。</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第六十三条  在代建合同签订后，由于非代建人原因，使得代建人不能全部或部分执行代建工作时，代建人应当立即通知委托人。该项目代建业务的完成时间应予延长。</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第六十四条  当事人一方要求变更或解除合同时，应当在</w:t>
      </w:r>
      <w:r>
        <w:rPr>
          <w:rFonts w:hint="eastAsia" w:ascii="仿宋_GB2312" w:hAnsi="宋体" w:eastAsia="仿宋_GB2312"/>
          <w:sz w:val="24"/>
          <w:u w:val="single"/>
        </w:rPr>
        <w:t>30</w:t>
      </w:r>
      <w:r>
        <w:rPr>
          <w:rFonts w:hint="eastAsia" w:ascii="仿宋_GB2312" w:hAnsi="宋体" w:eastAsia="仿宋_GB2312"/>
          <w:sz w:val="24"/>
        </w:rPr>
        <w:t>日前以书面形式通知其他各方。因解除合同使其他各方遭受损失的，除依法可以免除责任的情况外，应由责任方负责赔偿。</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第六十五条 当委托人认为代建人无正当理由而又未履行全部或部分代建义务时，可向代建人发出指明其未履行义务的通知。若委托人发出通知后满</w:t>
      </w:r>
      <w:r>
        <w:rPr>
          <w:rFonts w:hint="eastAsia" w:ascii="仿宋_GB2312" w:hAnsi="宋体" w:eastAsia="仿宋_GB2312"/>
          <w:sz w:val="24"/>
          <w:u w:val="single"/>
        </w:rPr>
        <w:t>21</w:t>
      </w:r>
      <w:r>
        <w:rPr>
          <w:rFonts w:hint="eastAsia" w:ascii="仿宋_GB2312" w:hAnsi="宋体" w:eastAsia="仿宋_GB2312"/>
          <w:sz w:val="24"/>
        </w:rPr>
        <w:t>日没有收到答复，可在第一个通知发出后</w:t>
      </w:r>
      <w:r>
        <w:rPr>
          <w:rFonts w:hint="eastAsia" w:ascii="仿宋_GB2312" w:hAnsi="宋体" w:eastAsia="仿宋_GB2312"/>
          <w:sz w:val="24"/>
          <w:u w:val="single"/>
        </w:rPr>
        <w:t>35</w:t>
      </w:r>
      <w:r>
        <w:rPr>
          <w:rFonts w:hint="eastAsia" w:ascii="仿宋_GB2312" w:hAnsi="宋体" w:eastAsia="仿宋_GB2312"/>
          <w:sz w:val="24"/>
        </w:rPr>
        <w:t>日内发出终止委托代建合同的通知，合同即行终止，同时委托人扣除代建人代建管理费20%的违约金。</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第六十六条  代建人与委托人办理完成项目移交手续，并经政府审计等相关部门审核通过工程决算，代建人收到代建管理费用余额（质量保修期结束）后，本合同即终止。</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第六十七条  合同协议的终止并不影响各方应有的权利和应当承担的责任。</w:t>
      </w:r>
    </w:p>
    <w:p>
      <w:pPr>
        <w:pStyle w:val="7"/>
        <w:spacing w:line="400" w:lineRule="exact"/>
        <w:ind w:right="0" w:firstLine="0" w:firstLineChars="0"/>
        <w:jc w:val="center"/>
        <w:rPr>
          <w:rFonts w:ascii="仿宋_GB2312" w:hAnsi="黑体" w:eastAsia="仿宋_GB2312"/>
          <w:bCs/>
          <w:sz w:val="24"/>
        </w:rPr>
      </w:pPr>
      <w:r>
        <w:rPr>
          <w:rFonts w:hint="eastAsia" w:ascii="仿宋_GB2312" w:hAnsi="黑体" w:eastAsia="仿宋_GB2312"/>
          <w:bCs/>
          <w:sz w:val="24"/>
        </w:rPr>
        <w:t>第十三章  争议的解决</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第六十八条  在合同执行过程中引起的争议，双方可通过协商并订立补充合同；协商如未能达成一致，可提交市政府协调，协调后争议仍未解决时，应按专用条款约定提交仲裁或向人民法院起诉。</w:t>
      </w:r>
    </w:p>
    <w:p>
      <w:pPr>
        <w:pStyle w:val="7"/>
        <w:spacing w:line="400" w:lineRule="exact"/>
        <w:ind w:right="0" w:firstLine="0" w:firstLineChars="0"/>
        <w:jc w:val="center"/>
        <w:rPr>
          <w:rFonts w:ascii="仿宋_GB2312" w:hAnsi="黑体" w:eastAsia="仿宋_GB2312"/>
          <w:bCs/>
          <w:sz w:val="24"/>
        </w:rPr>
      </w:pPr>
      <w:r>
        <w:rPr>
          <w:rFonts w:hint="eastAsia" w:ascii="仿宋_GB2312" w:hAnsi="黑体" w:eastAsia="仿宋_GB2312"/>
          <w:bCs/>
          <w:sz w:val="24"/>
        </w:rPr>
        <w:t>第十四章  各方应遵守的承诺</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第六十九条  委托人承诺，遵守本合同中的各项约定，为代建人提供项目代建的必要资料和配合做好协调沟通工作，协助代建人完成项目代建工作。</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 xml:space="preserve">第七十条  代建人承诺，遵守本合同中的各项约定，按照代建工作范围和内容，承担代建任务。 </w:t>
      </w:r>
    </w:p>
    <w:p>
      <w:pPr>
        <w:pStyle w:val="7"/>
        <w:spacing w:line="400" w:lineRule="exact"/>
        <w:ind w:right="0" w:firstLine="0" w:firstLineChars="0"/>
        <w:jc w:val="center"/>
        <w:rPr>
          <w:rFonts w:ascii="仿宋_GB2312" w:hAnsi="黑体" w:eastAsia="仿宋_GB2312"/>
          <w:bCs/>
          <w:sz w:val="24"/>
        </w:rPr>
      </w:pPr>
      <w:r>
        <w:rPr>
          <w:rFonts w:hint="eastAsia" w:ascii="仿宋_GB2312" w:hAnsi="黑体" w:eastAsia="仿宋_GB2312"/>
          <w:bCs/>
          <w:sz w:val="24"/>
        </w:rPr>
        <w:t>第十五章  其他</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第七十一条  在代建管理范围内，如需聘用专家咨询或协助，由代建人聘用的，其费用由代建人承担；由委托人聘用的，其费用由委托人承担。</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第七十二条  未经市（区）财政、发改等相关政府部门批准，代建人不得以本项目工程或权益进行融资，或进行任何形式的抵押、质押和其它形式的担保。</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第七十三条  代建人及其有母子公司关系的相关企业不得在自己代建的建设项目中，承担咨询评估、勘察、测绘、设计、施工、监理等工作。</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第七十四条  代建人驻地代建管理机构及其职员不得接受代建项目各相关方的任何报酬或者经济利益。</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第七十五条  代建人不得参与可能与合同规定的与委托人的利益相冲突的任何活动。</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第七十六条  代建人在代建过程中，不得泄露委托人申明的秘密，代建人亦不得泄露设计人、承包商及其他相关人等提供并申明的秘密。</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第七十七条 除专用合同条款另有约定外，委托人提供给代建人的图纸、委托人为实施工程自行编制或委托编制的技术规范以及反映委托人要求的或其他类似性质的文件的著作权属于委托人。代建人可以为实现合同目的而复制、使用此类文件，但不能用于与合同无关的其他事项。未经委托人书面同意，代建人不得为了合同以外的目的而复制、使用上述文件或将之提供给任何第三方。</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除专用合同条款另有约定外，代建人为实施工程所编制的文件，除署名权以外的著作权属于委托人，代建人可因实施工程的运行、调试、维修、改造等目的而复制、使用此类文件，但不能用于与合同无关的其他事项。未经委托人书面同意，代建人不得为了合同以外的目的而复制、使用上述文件或将之提供给任何第三方。</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第七十八条  根据国家有关工程建设、廉政建设的规定，为做好项目代建工作中的党风廉政建设工作，保证代建项目高效优质，保证代建项目工程建设资金的安全和有效使用以及投资效益，合同双方应在签订本合同的同时签订《廉政合同》。</w:t>
      </w:r>
    </w:p>
    <w:p>
      <w:pPr>
        <w:pStyle w:val="7"/>
        <w:spacing w:line="400" w:lineRule="exact"/>
        <w:ind w:right="0" w:firstLine="480"/>
        <w:rPr>
          <w:rFonts w:ascii="仿宋_GB2312" w:hAnsi="宋体" w:eastAsia="仿宋_GB2312"/>
          <w:sz w:val="24"/>
        </w:rPr>
      </w:pPr>
    </w:p>
    <w:p>
      <w:pPr>
        <w:pStyle w:val="7"/>
        <w:spacing w:line="400" w:lineRule="exact"/>
        <w:ind w:right="0" w:firstLine="480"/>
        <w:rPr>
          <w:rFonts w:ascii="仿宋_GB2312" w:hAnsi="宋体" w:eastAsia="仿宋_GB2312"/>
          <w:sz w:val="24"/>
        </w:rPr>
      </w:pPr>
    </w:p>
    <w:p>
      <w:pPr>
        <w:pStyle w:val="7"/>
        <w:spacing w:line="400" w:lineRule="exact"/>
        <w:ind w:right="0" w:firstLine="480"/>
        <w:rPr>
          <w:rFonts w:ascii="仿宋_GB2312" w:hAnsi="宋体" w:eastAsia="仿宋_GB2312"/>
          <w:sz w:val="24"/>
        </w:rPr>
      </w:pPr>
    </w:p>
    <w:p>
      <w:pPr>
        <w:pStyle w:val="7"/>
        <w:spacing w:line="400" w:lineRule="exact"/>
        <w:ind w:right="0" w:firstLine="480"/>
        <w:rPr>
          <w:rFonts w:ascii="仿宋_GB2312" w:hAnsi="宋体" w:eastAsia="仿宋_GB2312"/>
          <w:sz w:val="24"/>
        </w:rPr>
      </w:pPr>
    </w:p>
    <w:p>
      <w:pPr>
        <w:pStyle w:val="7"/>
        <w:spacing w:line="400" w:lineRule="exact"/>
        <w:ind w:right="0" w:firstLine="480"/>
        <w:rPr>
          <w:rFonts w:ascii="仿宋_GB2312" w:hAnsi="宋体" w:eastAsia="仿宋_GB2312"/>
          <w:sz w:val="24"/>
        </w:rPr>
      </w:pPr>
    </w:p>
    <w:p>
      <w:pPr>
        <w:pStyle w:val="7"/>
        <w:spacing w:line="400" w:lineRule="exact"/>
        <w:ind w:right="0" w:firstLine="480"/>
        <w:rPr>
          <w:rFonts w:ascii="仿宋_GB2312" w:hAnsi="宋体" w:eastAsia="仿宋_GB2312"/>
          <w:sz w:val="24"/>
        </w:rPr>
      </w:pPr>
    </w:p>
    <w:p>
      <w:pPr>
        <w:pStyle w:val="7"/>
        <w:tabs>
          <w:tab w:val="center" w:pos="4411"/>
        </w:tabs>
        <w:spacing w:line="400" w:lineRule="exact"/>
        <w:ind w:right="0" w:firstLine="0" w:firstLineChars="0"/>
        <w:rPr>
          <w:rFonts w:ascii="仿宋_GB2312" w:hAnsi="黑体" w:eastAsia="仿宋_GB2312"/>
          <w:bCs/>
          <w:sz w:val="24"/>
        </w:rPr>
      </w:pPr>
      <w:r>
        <w:rPr>
          <w:rFonts w:ascii="仿宋_GB2312" w:hAnsi="黑体" w:eastAsia="仿宋_GB2312"/>
          <w:bCs/>
          <w:sz w:val="24"/>
        </w:rPr>
        <w:tab/>
      </w:r>
      <w:r>
        <w:rPr>
          <w:rFonts w:hint="eastAsia" w:ascii="仿宋_GB2312" w:hAnsi="黑体" w:eastAsia="仿宋_GB2312"/>
          <w:bCs/>
          <w:sz w:val="24"/>
        </w:rPr>
        <w:t>第三部分  专用合同条款</w:t>
      </w:r>
    </w:p>
    <w:p>
      <w:pPr>
        <w:pStyle w:val="7"/>
        <w:spacing w:line="400" w:lineRule="exact"/>
        <w:ind w:right="0" w:firstLine="0" w:firstLineChars="0"/>
        <w:jc w:val="center"/>
        <w:rPr>
          <w:rFonts w:ascii="仿宋_GB2312" w:hAnsi="黑体" w:eastAsia="仿宋_GB2312"/>
          <w:bCs/>
          <w:sz w:val="24"/>
        </w:rPr>
      </w:pPr>
    </w:p>
    <w:p>
      <w:pPr>
        <w:pStyle w:val="7"/>
        <w:spacing w:line="400" w:lineRule="exact"/>
        <w:ind w:right="0" w:firstLine="470" w:firstLineChars="196"/>
        <w:rPr>
          <w:rFonts w:ascii="仿宋_GB2312" w:hAnsi="宋体" w:eastAsia="仿宋_GB2312"/>
          <w:sz w:val="24"/>
          <w:u w:val="single"/>
        </w:rPr>
      </w:pPr>
      <w:r>
        <w:rPr>
          <w:rFonts w:hint="eastAsia" w:ascii="仿宋_GB2312" w:hAnsi="宋体" w:eastAsia="仿宋_GB2312"/>
          <w:sz w:val="24"/>
        </w:rPr>
        <w:t>第一条（15）缺陷责任期期限：</w:t>
      </w:r>
      <w:r>
        <w:rPr>
          <w:rFonts w:hint="eastAsia" w:ascii="仿宋_GB2312" w:hAnsi="宋体" w:eastAsia="仿宋_GB2312"/>
          <w:sz w:val="24"/>
          <w:u w:val="single"/>
        </w:rPr>
        <w:t xml:space="preserve">             </w:t>
      </w:r>
    </w:p>
    <w:p>
      <w:pPr>
        <w:pStyle w:val="7"/>
        <w:spacing w:line="400" w:lineRule="exact"/>
        <w:ind w:right="0" w:firstLine="1180" w:firstLineChars="492"/>
        <w:rPr>
          <w:rFonts w:ascii="仿宋_GB2312" w:hAnsi="宋体" w:eastAsia="仿宋_GB2312"/>
          <w:sz w:val="24"/>
        </w:rPr>
      </w:pPr>
      <w:r>
        <w:rPr>
          <w:rFonts w:hint="eastAsia" w:ascii="仿宋_GB2312" w:hAnsi="宋体" w:eastAsia="仿宋_GB2312"/>
          <w:sz w:val="24"/>
        </w:rPr>
        <w:t>（16）工程质量保修期期限：</w:t>
      </w:r>
      <w:r>
        <w:rPr>
          <w:rFonts w:hint="eastAsia" w:ascii="仿宋_GB2312" w:hAnsi="宋体" w:eastAsia="仿宋_GB2312"/>
          <w:sz w:val="24"/>
          <w:u w:val="single"/>
        </w:rPr>
        <w:t xml:space="preserve">                 </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第二条  本合同适用的法律及代建依据：《中华人民共和国合同法》、《中华人民共和国建筑法》、《中华人民共和国招投标法》、《中华人民共和国安全生产法》、《建设工程质量管理条例》、《建设工程安全生产管理条例》、《三亚市政府投资建设项目代建制管理办法》、《三亚市政府投资建设项目设计变更管理规定》、《建设工程项目管理规范》（GB/T50326-2006）及各种与本项目相关的设计、施工、监理规范、规程，以及相关的地方标准。</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 xml:space="preserve">第八条  代建单位信用考核内容及时间：每年度由市（区）发展改革部门组织各相关部门对代建人进行综合信用评价考核，考核情况分为定期和不定期两种形式，定期考核于当年12月31日之前完成，不定期考核时间由市（区）发展改革部门和项目业主单位根据需要确定（制定相关考核办法）。                                                  </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第十四条  选择专业工作单位的监督管理措施：</w:t>
      </w:r>
      <w:r>
        <w:rPr>
          <w:rFonts w:hint="eastAsia" w:ascii="仿宋_GB2312" w:hAnsi="宋体" w:eastAsia="仿宋_GB2312"/>
          <w:sz w:val="24"/>
          <w:u w:val="single"/>
        </w:rPr>
        <w:t xml:space="preserve">                              </w:t>
      </w:r>
    </w:p>
    <w:p>
      <w:pPr>
        <w:pStyle w:val="7"/>
        <w:spacing w:line="400" w:lineRule="exact"/>
        <w:ind w:right="0" w:firstLine="0" w:firstLineChars="0"/>
        <w:rPr>
          <w:rFonts w:ascii="仿宋_GB2312" w:hAnsi="宋体" w:eastAsia="仿宋_GB2312"/>
          <w:sz w:val="24"/>
          <w:u w:val="single"/>
        </w:rPr>
      </w:pPr>
      <w:r>
        <w:rPr>
          <w:rFonts w:hint="eastAsia" w:ascii="仿宋_GB2312" w:hAnsi="宋体" w:eastAsia="仿宋_GB2312"/>
          <w:sz w:val="24"/>
          <w:u w:val="single"/>
        </w:rPr>
        <w:t xml:space="preserve">                                                                            </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第十八条  委托人应向代建人提供包含项目的使用功能要求等内容的设计任务书和时间：</w:t>
      </w:r>
    </w:p>
    <w:p>
      <w:pPr>
        <w:pStyle w:val="7"/>
        <w:spacing w:line="400" w:lineRule="exact"/>
        <w:ind w:right="0" w:firstLine="480"/>
        <w:rPr>
          <w:rFonts w:ascii="仿宋_GB2312" w:hAnsi="宋体" w:eastAsia="仿宋_GB2312"/>
          <w:sz w:val="24"/>
          <w:u w:val="single"/>
        </w:rPr>
      </w:pPr>
      <w:r>
        <w:rPr>
          <w:rFonts w:hint="eastAsia" w:ascii="仿宋_GB2312" w:hAnsi="宋体" w:eastAsia="仿宋_GB2312"/>
          <w:sz w:val="24"/>
        </w:rPr>
        <w:t>内容：</w:t>
      </w:r>
      <w:r>
        <w:rPr>
          <w:rFonts w:hint="eastAsia" w:ascii="仿宋_GB2312" w:hAnsi="宋体" w:eastAsia="仿宋_GB2312"/>
          <w:sz w:val="24"/>
          <w:u w:val="single"/>
        </w:rPr>
        <w:t xml:space="preserve">                                                                 </w:t>
      </w:r>
    </w:p>
    <w:p>
      <w:pPr>
        <w:pStyle w:val="7"/>
        <w:spacing w:line="400" w:lineRule="exact"/>
        <w:ind w:right="0" w:firstLine="0" w:firstLineChars="0"/>
        <w:rPr>
          <w:rFonts w:ascii="仿宋_GB2312" w:hAnsi="宋体" w:eastAsia="仿宋_GB2312"/>
          <w:sz w:val="24"/>
        </w:rPr>
      </w:pPr>
      <w:r>
        <w:rPr>
          <w:rFonts w:hint="eastAsia" w:ascii="仿宋_GB2312" w:hAnsi="宋体" w:eastAsia="仿宋_GB2312"/>
          <w:sz w:val="24"/>
          <w:u w:val="single"/>
        </w:rPr>
        <w:t xml:space="preserve">                                                                            </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时间：</w:t>
      </w:r>
      <w:r>
        <w:rPr>
          <w:rFonts w:hint="eastAsia" w:ascii="仿宋_GB2312" w:hAnsi="宋体" w:eastAsia="仿宋_GB2312"/>
          <w:sz w:val="24"/>
          <w:u w:val="single"/>
        </w:rPr>
        <w:t xml:space="preserve">                                                                 </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第二十一条  委托人应按如下方式核拨项目前期费用：项目前期工作进度款由代建人根据项目进展情况报市（区）发展改革部门申请下达投资计划，市（区）财政部门审批拨付。</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项目前期费用由市（区）财政部门拨付给委托人，由委托人拨付给各专业工作单位账户。</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工程建设资金在委托人、代建人核准后由市（区）财政部门按规定程序直接拨付至施工单位账户。</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第二十二条  委托人应在接到书面要求的</w:t>
      </w:r>
      <w:r>
        <w:rPr>
          <w:rFonts w:hint="eastAsia" w:ascii="仿宋_GB2312" w:hAnsi="宋体" w:eastAsia="仿宋_GB2312"/>
          <w:sz w:val="24"/>
          <w:u w:val="single"/>
        </w:rPr>
        <w:t>14</w:t>
      </w:r>
      <w:r>
        <w:rPr>
          <w:rFonts w:hint="eastAsia" w:ascii="仿宋_GB2312" w:hAnsi="宋体" w:eastAsia="仿宋_GB2312"/>
          <w:sz w:val="24"/>
        </w:rPr>
        <w:t>个工作日（特殊紧急事项应在</w:t>
      </w:r>
      <w:r>
        <w:rPr>
          <w:rFonts w:hint="eastAsia" w:ascii="仿宋_GB2312" w:hAnsi="宋体" w:eastAsia="仿宋_GB2312"/>
          <w:sz w:val="24"/>
          <w:u w:val="single"/>
        </w:rPr>
        <w:t>7</w:t>
      </w:r>
      <w:r>
        <w:rPr>
          <w:rFonts w:hint="eastAsia" w:ascii="仿宋_GB2312" w:hAnsi="宋体" w:eastAsia="仿宋_GB2312"/>
          <w:sz w:val="24"/>
        </w:rPr>
        <w:t>个工作日内或签订临时备忘录再补齐手续）内就代建人书面提交并要求做出决定的事宜给予书面答复。</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 xml:space="preserve">第二十七条  代建人向委托人汇报代建工作进展的方式和时间：代建人应当按照合同规定组建项目经理部，并向市（区）发展改革部门及项目业主单位报送项目经理及其项目经理部主要成员名单、项目代建方案或规划。每月5日前定期向市（区）发展改革部门及项目业主单位报送《政府投资项目代建工作月报》，以及在规定的时间内向各相关部门报送项目建设需要的各类报表。书面形式为代建人汇报代建工作进展的最终方式。  </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第三十四条  代建人项目工程建设资金专用账户管理方法：</w:t>
      </w:r>
    </w:p>
    <w:p>
      <w:pPr>
        <w:pStyle w:val="7"/>
        <w:numPr>
          <w:ilvl w:val="0"/>
          <w:numId w:val="7"/>
        </w:numPr>
        <w:tabs>
          <w:tab w:val="left" w:pos="1260"/>
        </w:tabs>
        <w:spacing w:line="400" w:lineRule="exact"/>
        <w:ind w:right="0" w:firstLine="480"/>
        <w:rPr>
          <w:rFonts w:ascii="仿宋_GB2312" w:hAnsi="宋体" w:eastAsia="仿宋_GB2312"/>
          <w:sz w:val="24"/>
        </w:rPr>
      </w:pPr>
      <w:r>
        <w:rPr>
          <w:rFonts w:hint="eastAsia" w:ascii="仿宋_GB2312" w:hAnsi="宋体" w:eastAsia="仿宋_GB2312"/>
          <w:sz w:val="24"/>
        </w:rPr>
        <w:t xml:space="preserve">所有在代建管理范围内需要支出的资金，必须由委托人和代建人共同签字后方可支付。                                                                  </w:t>
      </w:r>
    </w:p>
    <w:p>
      <w:pPr>
        <w:pStyle w:val="7"/>
        <w:tabs>
          <w:tab w:val="left" w:pos="1260"/>
        </w:tabs>
        <w:spacing w:line="400" w:lineRule="exact"/>
        <w:ind w:right="0" w:firstLine="480"/>
        <w:rPr>
          <w:rFonts w:ascii="仿宋_GB2312" w:hAnsi="宋体" w:eastAsia="仿宋_GB2312"/>
          <w:sz w:val="24"/>
          <w:u w:val="single"/>
        </w:rPr>
      </w:pPr>
      <w:r>
        <w:rPr>
          <w:rFonts w:hint="eastAsia" w:ascii="仿宋_GB2312" w:hAnsi="宋体" w:eastAsia="仿宋_GB2312"/>
          <w:sz w:val="24"/>
        </w:rPr>
        <w:t xml:space="preserve">（2）代建人与专业工作单位、银行各方应签订《资金监管协议》，专业工作单位的资金使用需在代建人批准后方可进行。                                         </w:t>
      </w:r>
    </w:p>
    <w:p>
      <w:pPr>
        <w:pStyle w:val="7"/>
        <w:tabs>
          <w:tab w:val="left" w:pos="1260"/>
        </w:tabs>
        <w:spacing w:line="400" w:lineRule="exact"/>
        <w:ind w:right="0" w:firstLine="480"/>
        <w:rPr>
          <w:rFonts w:ascii="仿宋_GB2312" w:hAnsi="宋体" w:eastAsia="仿宋_GB2312"/>
          <w:sz w:val="24"/>
        </w:rPr>
      </w:pPr>
      <w:r>
        <w:rPr>
          <w:rFonts w:hint="eastAsia" w:ascii="仿宋_GB2312" w:hAnsi="宋体" w:eastAsia="仿宋_GB2312"/>
          <w:sz w:val="24"/>
        </w:rPr>
        <w:t>（3）</w:t>
      </w:r>
      <w:r>
        <w:rPr>
          <w:rFonts w:hint="eastAsia" w:ascii="仿宋_GB2312" w:hAnsi="宋体" w:eastAsia="仿宋_GB2312"/>
          <w:sz w:val="24"/>
          <w:u w:val="single"/>
        </w:rPr>
        <w:t xml:space="preserve">                                                   </w:t>
      </w:r>
      <w:r>
        <w:rPr>
          <w:rFonts w:hint="eastAsia" w:ascii="仿宋_GB2312" w:hAnsi="宋体" w:eastAsia="仿宋_GB2312"/>
          <w:sz w:val="24"/>
        </w:rPr>
        <w:t xml:space="preserve">               </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第五十三条  代建管理费计算方法、支付比例和支付时间：</w:t>
      </w:r>
    </w:p>
    <w:p>
      <w:pPr>
        <w:pStyle w:val="7"/>
        <w:spacing w:line="400" w:lineRule="exact"/>
        <w:ind w:right="0" w:firstLine="480"/>
        <w:rPr>
          <w:rFonts w:ascii="仿宋_GB2312" w:hAnsi="宋体" w:eastAsia="仿宋_GB2312"/>
          <w:sz w:val="24"/>
          <w:u w:val="single"/>
        </w:rPr>
      </w:pPr>
      <w:r>
        <w:rPr>
          <w:rFonts w:hint="eastAsia" w:ascii="仿宋_GB2312" w:hAnsi="宋体" w:eastAsia="仿宋_GB2312"/>
          <w:sz w:val="24"/>
        </w:rPr>
        <w:t>计算方法：</w:t>
      </w:r>
      <w:r>
        <w:rPr>
          <w:rFonts w:hint="eastAsia" w:ascii="仿宋_GB2312" w:hAnsi="宋体" w:eastAsia="仿宋_GB2312"/>
          <w:sz w:val="24"/>
          <w:u w:val="single"/>
        </w:rPr>
        <w:t xml:space="preserve">                                 </w:t>
      </w:r>
      <w:r>
        <w:rPr>
          <w:rFonts w:hint="eastAsia" w:ascii="仿宋_GB2312" w:hAnsi="宋体" w:eastAsia="仿宋_GB2312"/>
          <w:sz w:val="24"/>
        </w:rPr>
        <w:t>（按财政部《基本建设项目建设成本管理规定》（财建〔2016〕504号）相关规定及所附《项目建设管理费总额控制数费率表》的费率计算。</w:t>
      </w:r>
    </w:p>
    <w:p>
      <w:pPr>
        <w:spacing w:line="400" w:lineRule="exact"/>
        <w:ind w:firstLine="480" w:firstLineChars="200"/>
        <w:rPr>
          <w:rFonts w:ascii="仿宋_GB2312" w:hAnsi="宋体" w:eastAsia="仿宋_GB2312"/>
          <w:sz w:val="24"/>
          <w:u w:val="single"/>
        </w:rPr>
      </w:pPr>
      <w:r>
        <w:rPr>
          <w:rFonts w:hint="eastAsia" w:ascii="仿宋_GB2312" w:hAnsi="宋体" w:eastAsia="仿宋_GB2312"/>
          <w:sz w:val="24"/>
        </w:rPr>
        <w:t>代建管理费的支付比例及支付时间：</w:t>
      </w:r>
    </w:p>
    <w:p>
      <w:pPr>
        <w:widowControl/>
        <w:spacing w:line="400" w:lineRule="exact"/>
        <w:ind w:firstLine="480" w:firstLineChars="200"/>
        <w:jc w:val="left"/>
        <w:rPr>
          <w:rFonts w:eastAsia="仿宋_GB2312"/>
          <w:sz w:val="24"/>
        </w:rPr>
      </w:pPr>
      <w:r>
        <w:rPr>
          <w:rFonts w:hint="eastAsia" w:ascii="仿宋_GB2312" w:hAnsi="宋体" w:eastAsia="仿宋_GB2312"/>
          <w:sz w:val="24"/>
        </w:rPr>
        <w:t>（1）</w:t>
      </w:r>
      <w:r>
        <w:rPr>
          <w:rFonts w:eastAsia="仿宋_GB2312"/>
          <w:sz w:val="24"/>
        </w:rPr>
        <w:t>实行前期工作代</w:t>
      </w:r>
      <w:r>
        <w:rPr>
          <w:rFonts w:hint="eastAsia" w:eastAsia="仿宋_GB2312"/>
          <w:sz w:val="24"/>
        </w:rPr>
        <w:t>建</w:t>
      </w:r>
      <w:r>
        <w:rPr>
          <w:rFonts w:eastAsia="仿宋_GB2312"/>
          <w:sz w:val="24"/>
        </w:rPr>
        <w:t>的项目，财政部门根据代建合同，第一次将代建单位管理费的</w:t>
      </w:r>
      <w:r>
        <w:rPr>
          <w:rFonts w:hint="eastAsia" w:eastAsia="仿宋_GB2312"/>
          <w:sz w:val="24"/>
        </w:rPr>
        <w:t>2</w:t>
      </w:r>
      <w:r>
        <w:rPr>
          <w:rFonts w:eastAsia="仿宋_GB2312"/>
          <w:sz w:val="24"/>
        </w:rPr>
        <w:t>0%拨付给代建单位</w:t>
      </w:r>
      <w:r>
        <w:rPr>
          <w:rFonts w:hint="eastAsia" w:eastAsia="仿宋_GB2312"/>
          <w:sz w:val="24"/>
        </w:rPr>
        <w:t>，待完成</w:t>
      </w:r>
      <w:r>
        <w:rPr>
          <w:rFonts w:eastAsia="仿宋_GB2312"/>
          <w:sz w:val="24"/>
        </w:rPr>
        <w:t>项目初步设计</w:t>
      </w:r>
      <w:r>
        <w:rPr>
          <w:rFonts w:hint="eastAsia" w:eastAsia="仿宋_GB2312"/>
          <w:sz w:val="24"/>
        </w:rPr>
        <w:t>及概算批复后</w:t>
      </w:r>
      <w:r>
        <w:rPr>
          <w:rFonts w:eastAsia="仿宋_GB2312"/>
          <w:sz w:val="24"/>
        </w:rPr>
        <w:t>支付不超过80%，余额在项目</w:t>
      </w:r>
      <w:r>
        <w:rPr>
          <w:rFonts w:hint="eastAsia" w:eastAsia="仿宋_GB2312"/>
          <w:sz w:val="24"/>
        </w:rPr>
        <w:t>竣工决算</w:t>
      </w:r>
      <w:r>
        <w:rPr>
          <w:rFonts w:eastAsia="仿宋_GB2312"/>
          <w:sz w:val="24"/>
        </w:rPr>
        <w:t>后再清算。</w:t>
      </w:r>
    </w:p>
    <w:p>
      <w:pPr>
        <w:widowControl/>
        <w:spacing w:line="400" w:lineRule="exact"/>
        <w:ind w:firstLine="480" w:firstLineChars="200"/>
        <w:rPr>
          <w:rFonts w:eastAsia="仿宋_GB2312"/>
          <w:sz w:val="24"/>
        </w:rPr>
      </w:pPr>
      <w:r>
        <w:rPr>
          <w:rFonts w:hint="eastAsia" w:eastAsia="仿宋_GB2312"/>
          <w:sz w:val="24"/>
        </w:rPr>
        <w:t>（2）</w:t>
      </w:r>
      <w:r>
        <w:rPr>
          <w:rFonts w:eastAsia="仿宋_GB2312"/>
          <w:sz w:val="24"/>
        </w:rPr>
        <w:t>实行全过程代建或者建设实施代建的项目，</w:t>
      </w:r>
      <w:r>
        <w:rPr>
          <w:rFonts w:eastAsia="仿宋_GB2312"/>
          <w:bCs/>
          <w:sz w:val="24"/>
        </w:rPr>
        <w:t>市</w:t>
      </w:r>
      <w:r>
        <w:rPr>
          <w:rFonts w:hint="eastAsia" w:eastAsia="仿宋_GB2312"/>
          <w:sz w:val="24"/>
        </w:rPr>
        <w:t>（区）</w:t>
      </w:r>
      <w:r>
        <w:rPr>
          <w:rFonts w:eastAsia="仿宋_GB2312"/>
          <w:bCs/>
          <w:sz w:val="24"/>
        </w:rPr>
        <w:t>财政部门根据代建合同，第一次将代建单位管理费的</w:t>
      </w:r>
      <w:r>
        <w:rPr>
          <w:rFonts w:hint="eastAsia" w:eastAsia="仿宋_GB2312"/>
          <w:bCs/>
          <w:sz w:val="24"/>
        </w:rPr>
        <w:t>2</w:t>
      </w:r>
      <w:r>
        <w:rPr>
          <w:rFonts w:eastAsia="仿宋_GB2312"/>
          <w:bCs/>
          <w:sz w:val="24"/>
        </w:rPr>
        <w:t>0%拨付给代建单位，其</w:t>
      </w:r>
      <w:r>
        <w:rPr>
          <w:rFonts w:eastAsia="仿宋_GB2312"/>
          <w:sz w:val="24"/>
        </w:rPr>
        <w:t>余待工程项目开工后，按季度工程进度支付，在项目竣工前累计拨付不超过80%，余</w:t>
      </w:r>
      <w:r>
        <w:rPr>
          <w:rFonts w:hint="eastAsia" w:eastAsia="仿宋_GB2312"/>
          <w:sz w:val="24"/>
        </w:rPr>
        <w:t>额</w:t>
      </w:r>
      <w:r>
        <w:rPr>
          <w:rFonts w:eastAsia="仿宋_GB2312"/>
          <w:sz w:val="24"/>
        </w:rPr>
        <w:t>待项目竣工财务决算批复后给予清算</w:t>
      </w:r>
      <w:r>
        <w:rPr>
          <w:rFonts w:hint="eastAsia" w:eastAsia="仿宋_GB2312"/>
          <w:sz w:val="24"/>
        </w:rPr>
        <w:t>。</w:t>
      </w:r>
      <w:r>
        <w:rPr>
          <w:rFonts w:hint="eastAsia" w:eastAsia="仿宋_GB2312"/>
          <w:sz w:val="24"/>
        </w:rPr>
        <w:tab/>
      </w:r>
    </w:p>
    <w:p>
      <w:pPr>
        <w:spacing w:line="400" w:lineRule="exact"/>
        <w:ind w:firstLine="480" w:firstLineChars="200"/>
        <w:rPr>
          <w:rFonts w:ascii="仿宋_GB2312" w:hAnsi="宋体" w:eastAsia="仿宋_GB2312"/>
          <w:sz w:val="24"/>
        </w:rPr>
      </w:pPr>
      <w:r>
        <w:rPr>
          <w:rFonts w:hint="eastAsia" w:ascii="仿宋_GB2312" w:hAnsi="宋体" w:eastAsia="仿宋_GB2312"/>
          <w:sz w:val="24"/>
        </w:rPr>
        <w:t>（3）经决算部门完成决算审定后 60 日内支付代建管理费总价的15%；</w:t>
      </w:r>
    </w:p>
    <w:p>
      <w:pPr>
        <w:spacing w:line="400" w:lineRule="exact"/>
        <w:ind w:firstLine="480" w:firstLineChars="200"/>
        <w:rPr>
          <w:rFonts w:ascii="仿宋_GB2312" w:hAnsi="宋体" w:eastAsia="仿宋_GB2312"/>
          <w:sz w:val="24"/>
        </w:rPr>
      </w:pPr>
      <w:r>
        <w:rPr>
          <w:rFonts w:hint="eastAsia" w:ascii="仿宋_GB2312" w:hAnsi="宋体" w:eastAsia="仿宋_GB2312"/>
          <w:sz w:val="24"/>
        </w:rPr>
        <w:t>（4）余款代建管理费总价的5%作为工程质量保修金，待质量保修期结束之日起 30 日内一次付清。</w:t>
      </w:r>
    </w:p>
    <w:p>
      <w:pPr>
        <w:spacing w:line="400" w:lineRule="exact"/>
        <w:ind w:firstLine="480" w:firstLineChars="200"/>
        <w:rPr>
          <w:rFonts w:ascii="仿宋_GB2312" w:hAnsi="宋体" w:eastAsia="仿宋_GB2312"/>
          <w:sz w:val="24"/>
        </w:rPr>
      </w:pPr>
      <w:r>
        <w:rPr>
          <w:rFonts w:hint="eastAsia" w:ascii="仿宋_GB2312" w:hAnsi="宋体" w:eastAsia="仿宋_GB2312"/>
          <w:sz w:val="24"/>
        </w:rPr>
        <w:t>代建管理费经委托人核准后由市（区）财政部门按规定程序拨付至代建人账户。</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第五十四条  附加工作的报酬及项目投资节余奖励酬金的计算方法、支付方式和支付时间：</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（1）委托人可以选择以下附加工作报酬计算方法中的一种支付：</w:t>
      </w:r>
      <w:r>
        <w:rPr>
          <w:rFonts w:hint="eastAsia" w:ascii="仿宋_GB2312" w:hAnsi="宋体" w:eastAsia="仿宋_GB2312" w:cs="宋体"/>
          <w:sz w:val="24"/>
        </w:rPr>
        <w:t>①</w:t>
      </w:r>
      <w:r>
        <w:rPr>
          <w:rFonts w:hint="eastAsia" w:ascii="仿宋_GB2312" w:hAnsi="宋体" w:eastAsia="仿宋_GB2312"/>
          <w:sz w:val="24"/>
        </w:rPr>
        <w:t>附加工作日数×合同报酬/代建服务日；或是</w:t>
      </w:r>
      <w:r>
        <w:rPr>
          <w:rFonts w:hint="eastAsia" w:ascii="仿宋_GB2312" w:hAnsi="宋体" w:eastAsia="仿宋_GB2312" w:cs="宋体"/>
          <w:sz w:val="24"/>
        </w:rPr>
        <w:t>②</w:t>
      </w:r>
      <w:r>
        <w:rPr>
          <w:rFonts w:hint="eastAsia" w:ascii="仿宋_GB2312" w:hAnsi="宋体" w:eastAsia="仿宋_GB2312"/>
          <w:sz w:val="24"/>
        </w:rPr>
        <w:t xml:space="preserve">按实际参加代建人员和不同技术职称人员的日标准工资乘以累计工作日 （参考国家发改委、建设部发改价格〔2007〕670号附件四“建设工程监理与相关服务人员人工日费用标准”计算）。                                                                     </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 xml:space="preserve">支付方式：由于委托人原因造成的工程连续停工30日以内按实际发生天数计算附加工作日数及附加工作的报酬，工程连续停工30日以上的，由委托人和代建人双方另行协商解决附加工作报酬。在委托人与代建人协商达成一致意见并签订相关补充协议、说明并报市政府相关部门批准后进行支付。其中自然灾害、设计变更引起增加的工作时间不计附加工作日数。                             </w:t>
      </w:r>
    </w:p>
    <w:p>
      <w:pPr>
        <w:pStyle w:val="7"/>
        <w:spacing w:line="400" w:lineRule="exact"/>
        <w:ind w:right="0" w:firstLine="480"/>
        <w:rPr>
          <w:rFonts w:ascii="仿宋_GB2312" w:hAnsi="宋体" w:eastAsia="仿宋_GB2312"/>
          <w:sz w:val="24"/>
          <w:u w:val="single"/>
        </w:rPr>
      </w:pPr>
      <w:r>
        <w:rPr>
          <w:rFonts w:hint="eastAsia" w:ascii="仿宋_GB2312" w:hAnsi="宋体" w:eastAsia="仿宋_GB2312"/>
          <w:sz w:val="24"/>
        </w:rPr>
        <w:t xml:space="preserve">支付时间：经委托人核准并按规定程序报市财政部门拨付至代建人账户。             </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（2）代建人为项目投资节约资金时，向委托人提出代建奖励报告，奖励金额按以下内容和方法计取：</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节余额奖励：节余奖励金额=批准的建安工程概算余额×奖励比率30 %。（最高不超过200万）</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注：“工程费用节余额”是指经过评估的，代建人全面履行合同约定代建项目建设内容、质量标准等前提下的项目概算建筑安装工程费与批准的项目相应的决算之差额。</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 xml:space="preserve">支付方式：由市发展改革部门和市财政部门核准后在项目节余资金中列支。                    </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 xml:space="preserve">支付时间：在竣工决算批准，并经市发展改革部门和市财政部门核准报市政府批准后90日内支付。                                   </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（3）优良工程奖励费用</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代建项目按规定工期建成，经竣工验收合格后交付使用，如被国家部委评为优良工程，则代建人可获得一笔奖励费用，奖励金额按以下内容和方法计取：</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优良工程奖励：代建管理费用的10%，最高不超过200万元</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 xml:space="preserve"> 支付方式：奖励资金由市发展改革部门和市财政部门核准后在项目预备费中列支或由市发展改革部门统筹安排。代建奖励金由市财政性资金和项目业主自筹资金按项目建设资金来源的比例分摊支付，</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支付时间：</w:t>
      </w:r>
      <w:r>
        <w:rPr>
          <w:rFonts w:hint="eastAsia" w:ascii="仿宋_GB2312" w:hAnsi="宋体" w:eastAsia="仿宋_GB2312"/>
          <w:sz w:val="24"/>
          <w:u w:val="single"/>
        </w:rPr>
        <w:t xml:space="preserve">  在竣工验收完成且获得国家部委优良工程的相关证书，并经市发展改革部门和市财政部门核准报市政府批准后90日内支付 </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第五十五条 委托人应向代建人支付的滞纳金利息为：</w:t>
      </w:r>
      <w:r>
        <w:rPr>
          <w:rFonts w:hint="eastAsia" w:ascii="仿宋_GB2312" w:hAnsi="宋体" w:eastAsia="仿宋_GB2312"/>
          <w:sz w:val="24"/>
          <w:u w:val="single"/>
        </w:rPr>
        <w:t xml:space="preserve">              </w:t>
      </w:r>
      <w:r>
        <w:rPr>
          <w:rFonts w:hint="eastAsia" w:ascii="仿宋_GB2312" w:hAnsi="宋体" w:eastAsia="仿宋_GB2312"/>
          <w:sz w:val="24"/>
        </w:rPr>
        <w:t>。</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第五十八条 应在收到代建人提交的资金支付申请的</w:t>
      </w:r>
      <w:r>
        <w:rPr>
          <w:rFonts w:hint="eastAsia" w:ascii="仿宋_GB2312" w:hAnsi="宋体" w:eastAsia="仿宋_GB2312"/>
          <w:sz w:val="24"/>
          <w:u w:val="single"/>
        </w:rPr>
        <w:t>20</w:t>
      </w:r>
      <w:r>
        <w:rPr>
          <w:rFonts w:hint="eastAsia" w:ascii="仿宋_GB2312" w:hAnsi="宋体" w:eastAsia="仿宋_GB2312"/>
          <w:sz w:val="24"/>
        </w:rPr>
        <w:t>日内给予签认，支付时间为：市（区）财政局按规定程序拨付时间</w:t>
      </w:r>
      <w:r>
        <w:rPr>
          <w:rFonts w:hint="eastAsia" w:ascii="仿宋_GB2312" w:hAnsi="宋体" w:eastAsia="仿宋_GB2312"/>
          <w:sz w:val="24"/>
          <w:u w:val="single"/>
        </w:rPr>
        <w:t xml:space="preserve">                        </w:t>
      </w:r>
      <w:r>
        <w:rPr>
          <w:rFonts w:hint="eastAsia" w:ascii="仿宋_GB2312" w:hAnsi="宋体" w:eastAsia="仿宋_GB2312"/>
          <w:sz w:val="24"/>
        </w:rPr>
        <w:t>。</w:t>
      </w: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第六十八条 争议的解决方式：</w:t>
      </w:r>
      <w:r>
        <w:rPr>
          <w:rFonts w:hint="eastAsia" w:ascii="仿宋_GB2312" w:hAnsi="宋体" w:eastAsia="仿宋_GB2312"/>
          <w:sz w:val="24"/>
          <w:u w:val="single"/>
        </w:rPr>
        <w:t xml:space="preserve">                                            </w:t>
      </w:r>
    </w:p>
    <w:p>
      <w:pPr>
        <w:pStyle w:val="7"/>
        <w:spacing w:line="400" w:lineRule="exact"/>
        <w:ind w:right="0" w:firstLine="0" w:firstLineChars="0"/>
        <w:rPr>
          <w:rFonts w:ascii="仿宋_GB2312" w:hAnsi="宋体" w:eastAsia="仿宋_GB2312"/>
          <w:sz w:val="24"/>
          <w:u w:val="single"/>
        </w:rPr>
      </w:pPr>
      <w:r>
        <w:rPr>
          <w:rFonts w:hint="eastAsia" w:ascii="仿宋_GB2312" w:hAnsi="宋体" w:eastAsia="仿宋_GB2312"/>
          <w:sz w:val="24"/>
          <w:u w:val="single"/>
        </w:rPr>
        <w:t xml:space="preserve">                                                                           </w:t>
      </w:r>
    </w:p>
    <w:p>
      <w:pPr>
        <w:pStyle w:val="7"/>
        <w:spacing w:line="400" w:lineRule="exact"/>
        <w:ind w:right="0" w:firstLine="0" w:firstLineChars="0"/>
        <w:rPr>
          <w:rFonts w:ascii="仿宋_GB2312" w:hAnsi="宋体" w:eastAsia="仿宋_GB2312"/>
          <w:sz w:val="24"/>
        </w:rPr>
      </w:pPr>
      <w:r>
        <w:rPr>
          <w:rFonts w:hint="eastAsia" w:ascii="仿宋_GB2312" w:hAnsi="宋体" w:eastAsia="仿宋_GB2312"/>
          <w:sz w:val="24"/>
          <w:u w:val="single"/>
        </w:rPr>
        <w:t xml:space="preserve">                                                                           </w:t>
      </w:r>
    </w:p>
    <w:p>
      <w:pPr>
        <w:pStyle w:val="7"/>
        <w:spacing w:line="400" w:lineRule="exact"/>
        <w:ind w:right="0" w:firstLine="480"/>
        <w:rPr>
          <w:rFonts w:ascii="仿宋_GB2312" w:hAnsi="宋体" w:eastAsia="仿宋_GB2312"/>
          <w:sz w:val="24"/>
        </w:rPr>
      </w:pPr>
    </w:p>
    <w:p>
      <w:pPr>
        <w:pStyle w:val="7"/>
        <w:spacing w:line="400" w:lineRule="exact"/>
        <w:ind w:right="0" w:firstLine="480"/>
        <w:rPr>
          <w:rFonts w:ascii="仿宋_GB2312" w:hAnsi="宋体" w:eastAsia="仿宋_GB2312"/>
          <w:sz w:val="24"/>
        </w:rPr>
      </w:pPr>
      <w:r>
        <w:rPr>
          <w:rFonts w:hint="eastAsia" w:ascii="仿宋_GB2312" w:hAnsi="宋体" w:eastAsia="仿宋_GB2312"/>
          <w:sz w:val="24"/>
        </w:rPr>
        <w:t>其他附加协议条款：</w:t>
      </w:r>
    </w:p>
    <w:p>
      <w:pPr>
        <w:pStyle w:val="7"/>
        <w:spacing w:line="400" w:lineRule="exact"/>
        <w:ind w:right="0" w:firstLine="0" w:firstLineChars="0"/>
        <w:rPr>
          <w:rFonts w:ascii="仿宋_GB2312" w:hAnsi="宋体" w:eastAsia="仿宋_GB2312"/>
          <w:sz w:val="24"/>
          <w:u w:val="single"/>
        </w:rPr>
      </w:pPr>
      <w:r>
        <w:rPr>
          <w:rFonts w:hint="eastAsia" w:ascii="仿宋_GB2312" w:hAnsi="宋体" w:eastAsia="仿宋_GB2312"/>
          <w:sz w:val="24"/>
          <w:u w:val="single"/>
        </w:rPr>
        <w:t xml:space="preserve">                                                                                                                           </w:t>
      </w:r>
    </w:p>
    <w:p>
      <w:pPr>
        <w:pStyle w:val="7"/>
        <w:spacing w:line="400" w:lineRule="exact"/>
        <w:ind w:right="0" w:firstLine="0" w:firstLineChars="0"/>
        <w:rPr>
          <w:rFonts w:ascii="仿宋_GB2312" w:hAnsi="宋体" w:eastAsia="仿宋_GB2312"/>
          <w:sz w:val="24"/>
          <w:u w:val="single"/>
        </w:rPr>
      </w:pPr>
      <w:r>
        <w:rPr>
          <w:rFonts w:hint="eastAsia" w:ascii="仿宋_GB2312" w:hAnsi="宋体" w:eastAsia="仿宋_GB2312"/>
          <w:sz w:val="24"/>
          <w:u w:val="single"/>
        </w:rPr>
        <w:t xml:space="preserve">                                                                           </w:t>
      </w:r>
    </w:p>
    <w:p>
      <w:pPr>
        <w:spacing w:line="400" w:lineRule="exact"/>
        <w:rPr>
          <w:sz w:val="24"/>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pStyle w:val="2"/>
        <w:spacing w:line="240" w:lineRule="auto"/>
        <w:jc w:val="center"/>
        <w:rPr>
          <w:rFonts w:ascii="黑体" w:eastAsia="黑体"/>
          <w:b w:val="0"/>
          <w:kern w:val="0"/>
        </w:rPr>
      </w:pPr>
      <w:bookmarkStart w:id="30" w:name="_Toc41309513"/>
      <w:r>
        <w:rPr>
          <w:rFonts w:hint="eastAsia" w:ascii="黑体" w:eastAsia="黑体"/>
          <w:b w:val="0"/>
          <w:kern w:val="0"/>
        </w:rPr>
        <w:t>第二卷</w:t>
      </w:r>
      <w:bookmarkEnd w:id="30"/>
    </w:p>
    <w:p>
      <w:pPr>
        <w:jc w:val="center"/>
        <w:rPr>
          <w:rFonts w:ascii="黑体" w:eastAsia="黑体"/>
          <w:sz w:val="48"/>
          <w:szCs w:val="48"/>
        </w:rPr>
      </w:pPr>
      <w:r>
        <w:rPr>
          <w:rFonts w:ascii="黑体" w:eastAsia="黑体"/>
          <w:sz w:val="48"/>
          <w:szCs w:val="48"/>
        </w:rPr>
        <w:br w:type="page"/>
      </w:r>
    </w:p>
    <w:p>
      <w:pPr>
        <w:pStyle w:val="2"/>
        <w:spacing w:line="240" w:lineRule="auto"/>
        <w:jc w:val="center"/>
        <w:rPr>
          <w:rFonts w:ascii="黑体" w:eastAsia="黑体"/>
          <w:b w:val="0"/>
          <w:kern w:val="0"/>
        </w:rPr>
      </w:pPr>
      <w:bookmarkStart w:id="31" w:name="_Toc41309514"/>
      <w:bookmarkStart w:id="32" w:name="_Toc23342"/>
      <w:bookmarkStart w:id="33" w:name="_Toc11148"/>
      <w:r>
        <w:rPr>
          <w:rFonts w:hint="eastAsia" w:ascii="黑体" w:eastAsia="黑体"/>
          <w:b w:val="0"/>
          <w:kern w:val="0"/>
        </w:rPr>
        <w:t>第五章  图  纸</w:t>
      </w:r>
      <w:bookmarkEnd w:id="31"/>
      <w:bookmarkEnd w:id="32"/>
      <w:bookmarkEnd w:id="33"/>
    </w:p>
    <w:p>
      <w:pPr>
        <w:jc w:val="center"/>
        <w:rPr>
          <w:rFonts w:ascii="黑体" w:eastAsia="黑体"/>
          <w:sz w:val="44"/>
          <w:szCs w:val="44"/>
        </w:rPr>
      </w:pPr>
      <w:r>
        <w:rPr>
          <w:rFonts w:hint="eastAsia" w:ascii="黑体" w:eastAsia="黑体"/>
          <w:sz w:val="44"/>
          <w:szCs w:val="44"/>
        </w:rPr>
        <w:t xml:space="preserve"> </w:t>
      </w:r>
    </w:p>
    <w:p>
      <w:pPr>
        <w:spacing w:after="240" w:afterLines="100"/>
        <w:rPr>
          <w:rFonts w:ascii="黑体" w:hAnsi="宋体" w:eastAsia="黑体"/>
          <w:sz w:val="24"/>
        </w:rPr>
      </w:pPr>
      <w:r>
        <w:rPr>
          <w:rFonts w:ascii="黑体" w:eastAsia="黑体"/>
          <w:sz w:val="44"/>
          <w:szCs w:val="44"/>
        </w:rPr>
        <w:br w:type="page"/>
      </w:r>
      <w:r>
        <w:rPr>
          <w:rFonts w:hint="eastAsia" w:ascii="黑体" w:hAnsi="宋体" w:eastAsia="黑体"/>
          <w:sz w:val="24"/>
        </w:rPr>
        <w:t>1．图纸目录</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1453"/>
        <w:gridCol w:w="1453"/>
        <w:gridCol w:w="1453"/>
        <w:gridCol w:w="1454"/>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r>
              <w:rPr>
                <w:rFonts w:hint="eastAsia" w:ascii="宋体" w:hAnsi="宋体"/>
                <w:szCs w:val="21"/>
              </w:rPr>
              <w:t>序号</w:t>
            </w:r>
          </w:p>
        </w:tc>
        <w:tc>
          <w:tcPr>
            <w:tcW w:w="1453" w:type="dxa"/>
            <w:vAlign w:val="center"/>
          </w:tcPr>
          <w:p>
            <w:pPr>
              <w:jc w:val="center"/>
              <w:rPr>
                <w:rFonts w:ascii="宋体" w:hAnsi="宋体"/>
                <w:szCs w:val="21"/>
              </w:rPr>
            </w:pPr>
            <w:r>
              <w:rPr>
                <w:rFonts w:hint="eastAsia" w:ascii="宋体" w:hAnsi="宋体"/>
                <w:szCs w:val="21"/>
              </w:rPr>
              <w:t>图名</w:t>
            </w:r>
          </w:p>
        </w:tc>
        <w:tc>
          <w:tcPr>
            <w:tcW w:w="1453" w:type="dxa"/>
            <w:vAlign w:val="center"/>
          </w:tcPr>
          <w:p>
            <w:pPr>
              <w:jc w:val="center"/>
              <w:rPr>
                <w:rFonts w:ascii="宋体" w:hAnsi="宋体"/>
                <w:szCs w:val="21"/>
              </w:rPr>
            </w:pPr>
            <w:r>
              <w:rPr>
                <w:rFonts w:hint="eastAsia" w:ascii="宋体" w:hAnsi="宋体"/>
                <w:szCs w:val="21"/>
              </w:rPr>
              <w:t>图号</w:t>
            </w:r>
          </w:p>
        </w:tc>
        <w:tc>
          <w:tcPr>
            <w:tcW w:w="1453" w:type="dxa"/>
            <w:vAlign w:val="center"/>
          </w:tcPr>
          <w:p>
            <w:pPr>
              <w:jc w:val="center"/>
              <w:rPr>
                <w:rFonts w:ascii="宋体" w:hAnsi="宋体"/>
                <w:szCs w:val="21"/>
              </w:rPr>
            </w:pPr>
            <w:r>
              <w:rPr>
                <w:rFonts w:hint="eastAsia" w:ascii="宋体" w:hAnsi="宋体"/>
                <w:szCs w:val="21"/>
              </w:rPr>
              <w:t>版本</w:t>
            </w:r>
          </w:p>
        </w:tc>
        <w:tc>
          <w:tcPr>
            <w:tcW w:w="1454" w:type="dxa"/>
            <w:vAlign w:val="center"/>
          </w:tcPr>
          <w:p>
            <w:pPr>
              <w:jc w:val="center"/>
              <w:rPr>
                <w:rFonts w:ascii="宋体" w:hAnsi="宋体"/>
                <w:szCs w:val="21"/>
              </w:rPr>
            </w:pPr>
            <w:r>
              <w:rPr>
                <w:rFonts w:hint="eastAsia" w:ascii="宋体" w:hAnsi="宋体"/>
                <w:szCs w:val="21"/>
              </w:rPr>
              <w:t>出图日期</w:t>
            </w:r>
          </w:p>
        </w:tc>
        <w:tc>
          <w:tcPr>
            <w:tcW w:w="1454" w:type="dxa"/>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3" w:type="dxa"/>
            <w:vAlign w:val="center"/>
          </w:tcPr>
          <w:p>
            <w:pPr>
              <w:jc w:val="center"/>
              <w:rPr>
                <w:rFonts w:ascii="宋体" w:hAnsi="宋体"/>
                <w:szCs w:val="21"/>
              </w:rPr>
            </w:pPr>
          </w:p>
        </w:tc>
        <w:tc>
          <w:tcPr>
            <w:tcW w:w="1454" w:type="dxa"/>
            <w:vAlign w:val="center"/>
          </w:tcPr>
          <w:p>
            <w:pPr>
              <w:jc w:val="center"/>
              <w:rPr>
                <w:rFonts w:ascii="宋体" w:hAnsi="宋体"/>
                <w:szCs w:val="21"/>
              </w:rPr>
            </w:pPr>
          </w:p>
        </w:tc>
        <w:tc>
          <w:tcPr>
            <w:tcW w:w="1454" w:type="dxa"/>
            <w:vAlign w:val="center"/>
          </w:tcPr>
          <w:p>
            <w:pPr>
              <w:jc w:val="center"/>
              <w:rPr>
                <w:rFonts w:ascii="宋体" w:hAnsi="宋体"/>
                <w:szCs w:val="21"/>
              </w:rPr>
            </w:pPr>
          </w:p>
        </w:tc>
      </w:tr>
    </w:tbl>
    <w:p>
      <w:pPr>
        <w:rPr>
          <w:rFonts w:ascii="黑体" w:eastAsia="黑体"/>
          <w:sz w:val="24"/>
        </w:rPr>
      </w:pPr>
      <w:r>
        <w:rPr>
          <w:rFonts w:ascii="黑体" w:eastAsia="黑体"/>
          <w:sz w:val="44"/>
          <w:szCs w:val="44"/>
        </w:rPr>
        <w:br w:type="page"/>
      </w:r>
      <w:r>
        <w:rPr>
          <w:rFonts w:hint="eastAsia" w:ascii="黑体" w:eastAsia="黑体"/>
          <w:sz w:val="24"/>
        </w:rPr>
        <w:t>2．图  纸</w:t>
      </w:r>
    </w:p>
    <w:p>
      <w:pPr>
        <w:rPr>
          <w:szCs w:val="21"/>
        </w:rPr>
      </w:pPr>
      <w:r>
        <w:rPr>
          <w:rFonts w:ascii="黑体" w:eastAsia="黑体"/>
          <w:sz w:val="24"/>
        </w:rPr>
        <w:br w:type="page"/>
      </w:r>
    </w:p>
    <w:p>
      <w:pPr>
        <w:pStyle w:val="2"/>
        <w:spacing w:line="240" w:lineRule="auto"/>
        <w:jc w:val="center"/>
        <w:rPr>
          <w:rFonts w:ascii="黑体" w:eastAsia="黑体"/>
          <w:b w:val="0"/>
          <w:kern w:val="0"/>
        </w:rPr>
      </w:pPr>
      <w:bookmarkStart w:id="34" w:name="_Toc41309515"/>
      <w:r>
        <w:rPr>
          <w:rFonts w:hint="eastAsia" w:ascii="黑体" w:eastAsia="黑体"/>
          <w:b w:val="0"/>
          <w:kern w:val="0"/>
        </w:rPr>
        <w:t>第三卷</w:t>
      </w:r>
      <w:bookmarkEnd w:id="34"/>
    </w:p>
    <w:p>
      <w:pPr>
        <w:jc w:val="center"/>
        <w:rPr>
          <w:rFonts w:ascii="黑体" w:eastAsia="黑体"/>
          <w:sz w:val="32"/>
          <w:szCs w:val="32"/>
        </w:rPr>
      </w:pPr>
    </w:p>
    <w:p>
      <w:pPr>
        <w:pStyle w:val="2"/>
        <w:spacing w:line="240" w:lineRule="auto"/>
        <w:jc w:val="center"/>
        <w:rPr>
          <w:rFonts w:ascii="黑体" w:eastAsia="黑体"/>
          <w:sz w:val="32"/>
          <w:szCs w:val="32"/>
        </w:rPr>
      </w:pPr>
      <w:r>
        <w:rPr>
          <w:rFonts w:ascii="黑体" w:eastAsia="黑体"/>
          <w:sz w:val="32"/>
          <w:szCs w:val="32"/>
        </w:rPr>
        <w:br w:type="page"/>
      </w:r>
      <w:bookmarkStart w:id="35" w:name="_Toc9630"/>
      <w:bookmarkStart w:id="36" w:name="_Toc24384"/>
      <w:bookmarkStart w:id="37" w:name="_Toc41309516"/>
      <w:r>
        <w:rPr>
          <w:rFonts w:hint="eastAsia" w:ascii="黑体" w:eastAsia="黑体"/>
          <w:b w:val="0"/>
          <w:kern w:val="0"/>
        </w:rPr>
        <w:t>第六章  技术标准和要求</w:t>
      </w:r>
      <w:bookmarkEnd w:id="35"/>
      <w:bookmarkEnd w:id="36"/>
      <w:bookmarkEnd w:id="37"/>
    </w:p>
    <w:p>
      <w:pPr>
        <w:spacing w:before="240" w:beforeLines="100" w:after="240" w:afterLines="100"/>
        <w:ind w:firstLine="3120" w:firstLineChars="1300"/>
        <w:rPr>
          <w:rFonts w:ascii="黑体" w:eastAsia="黑体"/>
          <w:sz w:val="28"/>
          <w:szCs w:val="28"/>
        </w:rPr>
        <w:sectPr>
          <w:footerReference r:id="rId6" w:type="default"/>
          <w:footerReference r:id="rId7" w:type="even"/>
          <w:pgSz w:w="11906" w:h="16838"/>
          <w:pgMar w:top="1361" w:right="1304" w:bottom="1191" w:left="1304" w:header="851" w:footer="794" w:gutter="0"/>
          <w:cols w:space="720" w:num="1"/>
          <w:docGrid w:linePitch="312" w:charSpace="0"/>
        </w:sectPr>
      </w:pPr>
      <w:r>
        <w:rPr>
          <w:rFonts w:hint="eastAsia" w:ascii="宋体" w:hAnsi="宋体" w:cs="黑体"/>
          <w:kern w:val="0"/>
          <w:sz w:val="24"/>
        </w:rPr>
        <w:t>符合国家现行标准和技术规范</w:t>
      </w:r>
    </w:p>
    <w:p>
      <w:pPr>
        <w:rPr>
          <w:szCs w:val="21"/>
        </w:rPr>
      </w:pPr>
    </w:p>
    <w:p>
      <w:pPr>
        <w:pStyle w:val="2"/>
        <w:spacing w:line="240" w:lineRule="auto"/>
        <w:jc w:val="center"/>
        <w:rPr>
          <w:rFonts w:ascii="黑体" w:eastAsia="黑体"/>
          <w:b w:val="0"/>
          <w:kern w:val="0"/>
        </w:rPr>
      </w:pPr>
      <w:bookmarkStart w:id="38" w:name="_Toc41309517"/>
      <w:r>
        <w:rPr>
          <w:rFonts w:hint="eastAsia" w:ascii="黑体" w:eastAsia="黑体"/>
          <w:b w:val="0"/>
          <w:kern w:val="0"/>
        </w:rPr>
        <w:t>第四卷</w:t>
      </w:r>
      <w:bookmarkEnd w:id="38"/>
    </w:p>
    <w:p>
      <w:pPr>
        <w:spacing w:line="420" w:lineRule="exact"/>
        <w:jc w:val="center"/>
        <w:rPr>
          <w:rFonts w:ascii="楷体_GB2312" w:eastAsia="楷体_GB2312"/>
        </w:rPr>
      </w:pPr>
      <w:r>
        <w:rPr>
          <w:rFonts w:ascii="黑体" w:eastAsia="黑体"/>
          <w:sz w:val="36"/>
          <w:szCs w:val="36"/>
        </w:rPr>
        <w:br w:type="page"/>
      </w:r>
    </w:p>
    <w:p>
      <w:pPr>
        <w:pStyle w:val="2"/>
        <w:spacing w:line="240" w:lineRule="auto"/>
        <w:jc w:val="center"/>
        <w:rPr>
          <w:rFonts w:ascii="黑体" w:eastAsia="黑体"/>
          <w:b w:val="0"/>
          <w:kern w:val="0"/>
        </w:rPr>
      </w:pPr>
      <w:bookmarkStart w:id="39" w:name="_Toc41309518"/>
      <w:bookmarkStart w:id="40" w:name="_Toc28135"/>
      <w:bookmarkStart w:id="41" w:name="_Toc20371"/>
      <w:r>
        <w:rPr>
          <w:rFonts w:hint="eastAsia" w:ascii="黑体" w:eastAsia="黑体"/>
          <w:b w:val="0"/>
          <w:kern w:val="0"/>
        </w:rPr>
        <w:t>第七章  投标文件格式</w:t>
      </w:r>
      <w:bookmarkEnd w:id="39"/>
      <w:bookmarkEnd w:id="40"/>
      <w:bookmarkEnd w:id="41"/>
    </w:p>
    <w:p>
      <w:pPr>
        <w:jc w:val="center"/>
        <w:rPr>
          <w:rFonts w:ascii="黑体" w:eastAsia="黑体"/>
          <w:sz w:val="32"/>
          <w:szCs w:val="32"/>
        </w:rPr>
      </w:pPr>
      <w:r>
        <w:rPr>
          <w:rFonts w:ascii="黑体" w:eastAsia="黑体"/>
          <w:sz w:val="32"/>
          <w:szCs w:val="32"/>
        </w:rPr>
        <w:br w:type="page"/>
      </w:r>
    </w:p>
    <w:p>
      <w:pPr>
        <w:jc w:val="center"/>
        <w:rPr>
          <w:rFonts w:ascii="黑体" w:eastAsia="黑体"/>
          <w:sz w:val="28"/>
          <w:szCs w:val="28"/>
        </w:rPr>
      </w:pPr>
      <w:r>
        <w:rPr>
          <w:rFonts w:hint="eastAsia" w:ascii="黑体" w:eastAsia="黑体"/>
          <w:sz w:val="32"/>
          <w:szCs w:val="32"/>
          <w:u w:val="single"/>
        </w:rPr>
        <w:t xml:space="preserve">             </w:t>
      </w:r>
      <w:bookmarkStart w:id="42" w:name="_Toc1177"/>
      <w:bookmarkStart w:id="43" w:name="_Toc9625"/>
      <w:r>
        <w:rPr>
          <w:rFonts w:hint="eastAsia" w:ascii="宋体" w:hAnsi="宋体"/>
          <w:sz w:val="28"/>
          <w:szCs w:val="28"/>
        </w:rPr>
        <w:t>（项目名称）</w:t>
      </w:r>
      <w:r>
        <w:rPr>
          <w:rFonts w:hint="eastAsia" w:ascii="宋体" w:hAnsi="宋体"/>
          <w:sz w:val="28"/>
          <w:szCs w:val="28"/>
          <w:u w:val="single"/>
        </w:rPr>
        <w:t>代建</w:t>
      </w:r>
      <w:r>
        <w:rPr>
          <w:rFonts w:hint="eastAsia" w:ascii="黑体" w:eastAsia="黑体"/>
          <w:sz w:val="28"/>
          <w:szCs w:val="28"/>
        </w:rPr>
        <w:t>招标</w:t>
      </w:r>
      <w:bookmarkEnd w:id="42"/>
      <w:bookmarkEnd w:id="43"/>
    </w:p>
    <w:p>
      <w:pPr>
        <w:spacing w:before="240" w:beforeLines="100"/>
        <w:jc w:val="center"/>
        <w:rPr>
          <w:rFonts w:ascii="黑体" w:eastAsia="黑体"/>
          <w:sz w:val="44"/>
          <w:szCs w:val="44"/>
        </w:rPr>
      </w:pPr>
      <w:r>
        <w:rPr>
          <w:rFonts w:hint="eastAsia" w:ascii="黑体" w:eastAsia="黑体"/>
          <w:sz w:val="44"/>
          <w:szCs w:val="44"/>
        </w:rPr>
        <w:t>投  标  文  件</w:t>
      </w: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spacing w:line="360" w:lineRule="auto"/>
        <w:jc w:val="center"/>
        <w:rPr>
          <w:rFonts w:ascii="黑体" w:eastAsia="黑体"/>
          <w:sz w:val="28"/>
          <w:szCs w:val="28"/>
        </w:rPr>
      </w:pPr>
      <w:bookmarkStart w:id="44" w:name="_Toc28868"/>
      <w:bookmarkStart w:id="45" w:name="_Toc8393"/>
      <w:r>
        <w:rPr>
          <w:rFonts w:hint="eastAsia" w:ascii="黑体" w:eastAsia="黑体"/>
          <w:sz w:val="28"/>
          <w:szCs w:val="28"/>
        </w:rPr>
        <w:t>投标人：</w:t>
      </w:r>
      <w:r>
        <w:rPr>
          <w:rFonts w:hint="eastAsia" w:ascii="黑体" w:eastAsia="黑体"/>
          <w:sz w:val="28"/>
          <w:szCs w:val="28"/>
          <w:u w:val="single"/>
        </w:rPr>
        <w:t xml:space="preserve">                               </w:t>
      </w:r>
      <w:r>
        <w:rPr>
          <w:rFonts w:hint="eastAsia" w:ascii="黑体" w:eastAsia="黑体"/>
          <w:sz w:val="28"/>
          <w:szCs w:val="28"/>
        </w:rPr>
        <w:t>（盖单位章）</w:t>
      </w:r>
      <w:bookmarkEnd w:id="44"/>
      <w:bookmarkEnd w:id="45"/>
    </w:p>
    <w:p>
      <w:pPr>
        <w:spacing w:line="360" w:lineRule="auto"/>
        <w:jc w:val="center"/>
        <w:rPr>
          <w:rFonts w:ascii="黑体" w:eastAsia="黑体"/>
          <w:sz w:val="28"/>
          <w:szCs w:val="28"/>
        </w:rPr>
      </w:pPr>
      <w:bookmarkStart w:id="46" w:name="_Toc8436"/>
      <w:bookmarkStart w:id="47" w:name="_Toc24224"/>
      <w:r>
        <w:rPr>
          <w:rFonts w:hint="eastAsia" w:ascii="黑体" w:eastAsia="黑体"/>
          <w:sz w:val="28"/>
          <w:szCs w:val="28"/>
        </w:rPr>
        <w:t>法定代表人或其委托代理人：</w:t>
      </w:r>
      <w:r>
        <w:rPr>
          <w:rFonts w:hint="eastAsia" w:ascii="黑体" w:eastAsia="黑体"/>
          <w:sz w:val="28"/>
          <w:szCs w:val="28"/>
          <w:u w:val="single"/>
        </w:rPr>
        <w:t xml:space="preserve">                 </w:t>
      </w:r>
      <w:r>
        <w:rPr>
          <w:rFonts w:hint="eastAsia" w:ascii="黑体" w:eastAsia="黑体"/>
          <w:sz w:val="28"/>
          <w:szCs w:val="28"/>
        </w:rPr>
        <w:t>（签字）</w:t>
      </w:r>
      <w:bookmarkEnd w:id="46"/>
      <w:bookmarkEnd w:id="47"/>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r>
        <w:rPr>
          <w:rFonts w:hint="eastAsia" w:ascii="黑体" w:eastAsia="黑体"/>
          <w:sz w:val="28"/>
          <w:szCs w:val="28"/>
          <w:u w:val="single"/>
        </w:rPr>
        <w:t xml:space="preserve">         </w:t>
      </w:r>
      <w:bookmarkStart w:id="48" w:name="_Toc24921"/>
      <w:bookmarkStart w:id="49" w:name="_Toc25084"/>
      <w:r>
        <w:rPr>
          <w:rFonts w:hint="eastAsia" w:ascii="黑体" w:eastAsia="黑体"/>
          <w:sz w:val="28"/>
          <w:szCs w:val="28"/>
        </w:rPr>
        <w:t>年</w:t>
      </w:r>
      <w:r>
        <w:rPr>
          <w:rFonts w:hint="eastAsia"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hint="eastAsia" w:ascii="黑体" w:eastAsia="黑体"/>
          <w:sz w:val="28"/>
          <w:szCs w:val="28"/>
        </w:rPr>
        <w:t>日</w:t>
      </w:r>
      <w:bookmarkEnd w:id="48"/>
      <w:bookmarkEnd w:id="49"/>
    </w:p>
    <w:p>
      <w:pPr>
        <w:spacing w:before="240" w:beforeLines="100" w:after="240" w:afterLines="100"/>
        <w:jc w:val="center"/>
        <w:rPr>
          <w:rFonts w:ascii="黑体" w:eastAsia="黑体"/>
          <w:sz w:val="28"/>
          <w:szCs w:val="28"/>
        </w:rPr>
      </w:pPr>
      <w:r>
        <w:rPr>
          <w:rFonts w:ascii="黑体" w:eastAsia="黑体"/>
          <w:sz w:val="28"/>
          <w:szCs w:val="28"/>
        </w:rPr>
        <w:br w:type="page"/>
      </w:r>
      <w:bookmarkStart w:id="50" w:name="_Toc2596"/>
      <w:bookmarkStart w:id="51" w:name="_Toc22022"/>
      <w:r>
        <w:rPr>
          <w:rFonts w:hint="eastAsia" w:ascii="黑体" w:eastAsia="黑体"/>
          <w:sz w:val="28"/>
          <w:szCs w:val="28"/>
        </w:rPr>
        <w:t>目    录</w:t>
      </w:r>
      <w:bookmarkEnd w:id="50"/>
      <w:bookmarkEnd w:id="51"/>
    </w:p>
    <w:p>
      <w:pPr>
        <w:spacing w:line="600" w:lineRule="exact"/>
        <w:rPr>
          <w:rFonts w:ascii="宋体" w:hAnsi="宋体"/>
          <w:szCs w:val="21"/>
        </w:rPr>
      </w:pPr>
      <w:bookmarkStart w:id="52" w:name="_Toc3023"/>
      <w:bookmarkStart w:id="53" w:name="_Toc4277"/>
      <w:r>
        <w:rPr>
          <w:rFonts w:hint="eastAsia" w:ascii="宋体" w:hAnsi="宋体"/>
          <w:szCs w:val="21"/>
        </w:rPr>
        <w:t>一、投标函及投标函附录</w:t>
      </w:r>
      <w:bookmarkEnd w:id="52"/>
      <w:bookmarkEnd w:id="53"/>
    </w:p>
    <w:p>
      <w:pPr>
        <w:spacing w:line="600" w:lineRule="exact"/>
        <w:rPr>
          <w:rFonts w:ascii="宋体" w:hAnsi="宋体"/>
          <w:szCs w:val="21"/>
        </w:rPr>
      </w:pPr>
      <w:bookmarkStart w:id="54" w:name="_Toc10163"/>
      <w:bookmarkStart w:id="55" w:name="_Toc9692"/>
      <w:r>
        <w:rPr>
          <w:rFonts w:hint="eastAsia" w:ascii="宋体" w:hAnsi="宋体"/>
          <w:szCs w:val="21"/>
        </w:rPr>
        <w:t>二、法定代表人身份证明</w:t>
      </w:r>
      <w:bookmarkEnd w:id="54"/>
      <w:bookmarkEnd w:id="55"/>
    </w:p>
    <w:p>
      <w:pPr>
        <w:spacing w:line="600" w:lineRule="exact"/>
        <w:rPr>
          <w:rFonts w:ascii="宋体" w:hAnsi="宋体"/>
          <w:szCs w:val="21"/>
        </w:rPr>
      </w:pPr>
      <w:bookmarkStart w:id="56" w:name="_Toc249"/>
      <w:bookmarkStart w:id="57" w:name="_Toc11077"/>
      <w:r>
        <w:rPr>
          <w:rFonts w:hint="eastAsia" w:ascii="宋体" w:hAnsi="宋体"/>
          <w:szCs w:val="21"/>
        </w:rPr>
        <w:t>三、授权委托书</w:t>
      </w:r>
      <w:bookmarkEnd w:id="56"/>
      <w:bookmarkEnd w:id="57"/>
    </w:p>
    <w:p>
      <w:pPr>
        <w:spacing w:line="600" w:lineRule="exact"/>
        <w:rPr>
          <w:rFonts w:ascii="宋体" w:hAnsi="宋体"/>
          <w:szCs w:val="21"/>
        </w:rPr>
      </w:pPr>
      <w:bookmarkStart w:id="58" w:name="_Toc11737"/>
      <w:bookmarkStart w:id="59" w:name="_Toc8327"/>
      <w:r>
        <w:rPr>
          <w:rFonts w:hint="eastAsia" w:ascii="宋体" w:hAnsi="宋体"/>
          <w:szCs w:val="21"/>
        </w:rPr>
        <w:t>四、投标保证金</w:t>
      </w:r>
      <w:bookmarkEnd w:id="58"/>
      <w:bookmarkEnd w:id="59"/>
    </w:p>
    <w:p>
      <w:pPr>
        <w:spacing w:line="600" w:lineRule="exact"/>
        <w:rPr>
          <w:rFonts w:ascii="宋体" w:hAnsi="宋体"/>
          <w:szCs w:val="21"/>
        </w:rPr>
      </w:pPr>
      <w:bookmarkStart w:id="60" w:name="_Toc2419"/>
      <w:bookmarkStart w:id="61" w:name="_Toc26907"/>
      <w:r>
        <w:rPr>
          <w:rFonts w:hint="eastAsia" w:ascii="宋体" w:hAnsi="宋体"/>
          <w:szCs w:val="21"/>
        </w:rPr>
        <w:t>五、代建方案</w:t>
      </w:r>
      <w:bookmarkEnd w:id="60"/>
      <w:bookmarkEnd w:id="61"/>
    </w:p>
    <w:p>
      <w:pPr>
        <w:spacing w:line="600" w:lineRule="exact"/>
        <w:rPr>
          <w:rFonts w:ascii="宋体" w:hAnsi="宋体"/>
          <w:szCs w:val="21"/>
        </w:rPr>
      </w:pPr>
      <w:bookmarkStart w:id="62" w:name="_Toc27415"/>
      <w:bookmarkStart w:id="63" w:name="_Toc11219"/>
      <w:r>
        <w:rPr>
          <w:rFonts w:hint="eastAsia" w:ascii="宋体" w:hAnsi="宋体"/>
          <w:szCs w:val="21"/>
        </w:rPr>
        <w:t>六、项目管理机构</w:t>
      </w:r>
      <w:bookmarkEnd w:id="62"/>
      <w:bookmarkEnd w:id="63"/>
    </w:p>
    <w:p>
      <w:pPr>
        <w:spacing w:line="600" w:lineRule="exact"/>
        <w:rPr>
          <w:rFonts w:ascii="宋体" w:hAnsi="宋体"/>
          <w:szCs w:val="21"/>
        </w:rPr>
      </w:pPr>
      <w:bookmarkStart w:id="64" w:name="_Toc6081"/>
      <w:bookmarkStart w:id="65" w:name="_Toc19846"/>
      <w:r>
        <w:rPr>
          <w:rFonts w:hint="eastAsia" w:ascii="宋体" w:hAnsi="宋体"/>
          <w:szCs w:val="21"/>
        </w:rPr>
        <w:t>七、资格审查资料</w:t>
      </w:r>
      <w:bookmarkEnd w:id="64"/>
      <w:bookmarkEnd w:id="65"/>
    </w:p>
    <w:p>
      <w:pPr>
        <w:spacing w:line="600" w:lineRule="exact"/>
        <w:rPr>
          <w:rFonts w:ascii="宋体" w:hAnsi="宋体"/>
          <w:szCs w:val="21"/>
        </w:rPr>
      </w:pPr>
      <w:bookmarkStart w:id="66" w:name="_Toc8726"/>
      <w:bookmarkStart w:id="67" w:name="_Toc23400"/>
      <w:r>
        <w:rPr>
          <w:rFonts w:hint="eastAsia" w:ascii="宋体" w:hAnsi="宋体"/>
          <w:szCs w:val="21"/>
        </w:rPr>
        <w:t>八、其他材料</w:t>
      </w:r>
      <w:bookmarkEnd w:id="66"/>
      <w:bookmarkEnd w:id="67"/>
    </w:p>
    <w:p>
      <w:pPr>
        <w:spacing w:before="240" w:beforeLines="100" w:after="120" w:afterLines="50"/>
        <w:jc w:val="center"/>
        <w:outlineLvl w:val="0"/>
        <w:rPr>
          <w:rFonts w:ascii="黑体" w:hAnsi="宋体" w:eastAsia="黑体"/>
          <w:sz w:val="28"/>
          <w:szCs w:val="28"/>
        </w:rPr>
      </w:pPr>
      <w:r>
        <w:rPr>
          <w:rFonts w:ascii="宋体" w:hAnsi="宋体"/>
          <w:szCs w:val="21"/>
        </w:rPr>
        <w:br w:type="page"/>
      </w:r>
      <w:bookmarkStart w:id="68" w:name="_Toc41309519"/>
      <w:bookmarkStart w:id="69" w:name="_Toc20241"/>
      <w:bookmarkStart w:id="70" w:name="_Toc15103"/>
      <w:r>
        <w:rPr>
          <w:rFonts w:hint="eastAsia" w:ascii="黑体" w:hAnsi="宋体" w:eastAsia="黑体"/>
          <w:sz w:val="28"/>
          <w:szCs w:val="28"/>
        </w:rPr>
        <w:t>一、投标函及投标函附录</w:t>
      </w:r>
      <w:bookmarkEnd w:id="68"/>
      <w:bookmarkEnd w:id="69"/>
      <w:bookmarkEnd w:id="70"/>
    </w:p>
    <w:p>
      <w:pPr>
        <w:spacing w:before="240" w:beforeLines="100" w:after="120" w:afterLines="50" w:line="510" w:lineRule="exact"/>
        <w:jc w:val="center"/>
        <w:outlineLvl w:val="0"/>
        <w:rPr>
          <w:rFonts w:ascii="黑体" w:hAnsi="宋体" w:eastAsia="黑体"/>
          <w:sz w:val="24"/>
        </w:rPr>
      </w:pPr>
      <w:bookmarkStart w:id="71" w:name="_Toc41309520"/>
      <w:bookmarkStart w:id="72" w:name="_Toc455588669"/>
      <w:r>
        <w:rPr>
          <w:rFonts w:hint="eastAsia" w:ascii="黑体" w:hAnsi="宋体" w:eastAsia="黑体"/>
          <w:sz w:val="24"/>
        </w:rPr>
        <w:t>（一）投标函</w:t>
      </w:r>
      <w:bookmarkEnd w:id="71"/>
      <w:bookmarkEnd w:id="72"/>
    </w:p>
    <w:p>
      <w:pPr>
        <w:spacing w:line="440" w:lineRule="exact"/>
        <w:ind w:firstLine="420" w:firstLineChars="200"/>
        <w:rPr>
          <w:szCs w:val="21"/>
        </w:rPr>
      </w:pPr>
      <w:r>
        <w:rPr>
          <w:szCs w:val="21"/>
        </w:rPr>
        <w:t>1．我方已仔细研究了</w:t>
      </w:r>
      <w:r>
        <w:rPr>
          <w:szCs w:val="21"/>
          <w:u w:val="single"/>
        </w:rPr>
        <w:t xml:space="preserve">          </w:t>
      </w:r>
      <w:r>
        <w:rPr>
          <w:szCs w:val="21"/>
        </w:rPr>
        <w:t>（项目名称）招标文件的全部内容，愿意以人民币（大写）</w:t>
      </w:r>
      <w:r>
        <w:rPr>
          <w:szCs w:val="21"/>
          <w:u w:val="single"/>
        </w:rPr>
        <w:t xml:space="preserve">         </w:t>
      </w:r>
      <w:r>
        <w:rPr>
          <w:szCs w:val="21"/>
        </w:rPr>
        <w:t>（¥</w:t>
      </w:r>
      <w:r>
        <w:rPr>
          <w:szCs w:val="21"/>
          <w:u w:val="single"/>
        </w:rPr>
        <w:t xml:space="preserve">           </w:t>
      </w:r>
      <w:r>
        <w:rPr>
          <w:szCs w:val="21"/>
        </w:rPr>
        <w:t>）的投标总报价，</w:t>
      </w:r>
      <w:r>
        <w:rPr>
          <w:rFonts w:hint="eastAsia"/>
          <w:szCs w:val="21"/>
        </w:rPr>
        <w:t>工期</w:t>
      </w:r>
      <w:r>
        <w:rPr>
          <w:rFonts w:hint="eastAsia"/>
          <w:szCs w:val="21"/>
          <w:u w:val="single"/>
        </w:rPr>
        <w:t xml:space="preserve">          </w:t>
      </w:r>
      <w:r>
        <w:rPr>
          <w:rFonts w:hint="eastAsia"/>
          <w:szCs w:val="21"/>
        </w:rPr>
        <w:t xml:space="preserve"> </w:t>
      </w:r>
      <w:r>
        <w:rPr>
          <w:szCs w:val="21"/>
        </w:rPr>
        <w:t>，工程质量达到</w:t>
      </w:r>
      <w:r>
        <w:rPr>
          <w:szCs w:val="21"/>
          <w:u w:val="single"/>
        </w:rPr>
        <w:t xml:space="preserve">           </w:t>
      </w:r>
      <w:r>
        <w:rPr>
          <w:szCs w:val="21"/>
        </w:rPr>
        <w:t>。</w:t>
      </w:r>
    </w:p>
    <w:p>
      <w:pPr>
        <w:spacing w:line="440" w:lineRule="exact"/>
        <w:ind w:firstLine="420" w:firstLineChars="200"/>
        <w:rPr>
          <w:szCs w:val="21"/>
        </w:rPr>
      </w:pPr>
      <w:r>
        <w:rPr>
          <w:szCs w:val="21"/>
        </w:rPr>
        <w:t>2．我方承诺在</w:t>
      </w:r>
      <w:r>
        <w:rPr>
          <w:rFonts w:hint="eastAsia"/>
          <w:szCs w:val="21"/>
        </w:rPr>
        <w:t>招标文件规定的</w:t>
      </w:r>
      <w:r>
        <w:rPr>
          <w:szCs w:val="21"/>
        </w:rPr>
        <w:t>投标有效期内不修改、撤销投标文件。</w:t>
      </w:r>
    </w:p>
    <w:p>
      <w:pPr>
        <w:spacing w:line="440" w:lineRule="exact"/>
        <w:ind w:firstLine="420" w:firstLineChars="200"/>
        <w:rPr>
          <w:szCs w:val="21"/>
        </w:rPr>
      </w:pPr>
      <w:r>
        <w:rPr>
          <w:szCs w:val="21"/>
        </w:rPr>
        <w:t>3．随同本投标函提交投标保证金一份，金额为人民币（大写）</w:t>
      </w:r>
      <w:r>
        <w:rPr>
          <w:szCs w:val="21"/>
          <w:u w:val="single"/>
        </w:rPr>
        <w:t xml:space="preserve">        </w:t>
      </w:r>
      <w:r>
        <w:rPr>
          <w:szCs w:val="21"/>
        </w:rPr>
        <w:t>（¥</w:t>
      </w:r>
      <w:r>
        <w:rPr>
          <w:szCs w:val="21"/>
          <w:u w:val="single"/>
        </w:rPr>
        <w:t xml:space="preserve">  </w:t>
      </w:r>
      <w:r>
        <w:rPr>
          <w:rFonts w:hint="eastAsia"/>
          <w:szCs w:val="21"/>
          <w:u w:val="single"/>
        </w:rPr>
        <w:t xml:space="preserve">   </w:t>
      </w:r>
      <w:r>
        <w:rPr>
          <w:szCs w:val="21"/>
          <w:u w:val="single"/>
        </w:rPr>
        <w:t xml:space="preserve">  </w:t>
      </w:r>
      <w:r>
        <w:rPr>
          <w:szCs w:val="21"/>
        </w:rPr>
        <w:t>）。</w:t>
      </w:r>
    </w:p>
    <w:p>
      <w:pPr>
        <w:spacing w:line="440" w:lineRule="exact"/>
        <w:ind w:firstLine="420" w:firstLineChars="200"/>
        <w:rPr>
          <w:szCs w:val="21"/>
        </w:rPr>
      </w:pPr>
      <w:r>
        <w:rPr>
          <w:szCs w:val="21"/>
        </w:rPr>
        <w:t>4．如我方中标：</w:t>
      </w:r>
    </w:p>
    <w:p>
      <w:pPr>
        <w:spacing w:line="440" w:lineRule="exact"/>
        <w:ind w:firstLine="718" w:firstLineChars="342"/>
        <w:rPr>
          <w:szCs w:val="21"/>
        </w:rPr>
      </w:pPr>
      <w:r>
        <w:rPr>
          <w:szCs w:val="21"/>
        </w:rPr>
        <w:t>（1）我方承诺在收到中标通知书后，在中标通知书规定的期限内与你方签订合同。</w:t>
      </w:r>
    </w:p>
    <w:p>
      <w:pPr>
        <w:spacing w:line="440" w:lineRule="exact"/>
        <w:ind w:firstLine="718" w:firstLineChars="342"/>
        <w:rPr>
          <w:szCs w:val="21"/>
        </w:rPr>
      </w:pPr>
      <w:r>
        <w:rPr>
          <w:szCs w:val="21"/>
        </w:rPr>
        <w:t>（2）随同本投标函递交的投标函附录属于合同文件的组成部分。</w:t>
      </w:r>
    </w:p>
    <w:p>
      <w:pPr>
        <w:spacing w:line="440" w:lineRule="exact"/>
        <w:ind w:firstLine="718" w:firstLineChars="342"/>
        <w:rPr>
          <w:szCs w:val="21"/>
        </w:rPr>
      </w:pPr>
      <w:r>
        <w:rPr>
          <w:szCs w:val="21"/>
        </w:rPr>
        <w:t>（3）我方承诺按照招标文件规定向你方递交履约担保。</w:t>
      </w:r>
    </w:p>
    <w:p>
      <w:pPr>
        <w:spacing w:line="440" w:lineRule="exact"/>
        <w:ind w:firstLine="420" w:firstLineChars="200"/>
        <w:rPr>
          <w:szCs w:val="21"/>
        </w:rPr>
      </w:pPr>
      <w:r>
        <w:rPr>
          <w:szCs w:val="21"/>
        </w:rPr>
        <w:t>5．</w:t>
      </w:r>
      <w:r>
        <w:rPr>
          <w:rFonts w:hint="eastAsia"/>
        </w:rPr>
        <w:t>我方在此声明，所递交的投标文件及有关资料内容完整、真实和准确，且不存在第二章“投标人须知”第1.4.2项和第1.4.3项规定的任何一种情形。</w:t>
      </w:r>
    </w:p>
    <w:p>
      <w:pPr>
        <w:spacing w:line="440" w:lineRule="exact"/>
        <w:ind w:firstLine="420" w:firstLineChars="200"/>
        <w:rPr>
          <w:szCs w:val="21"/>
        </w:rPr>
      </w:pPr>
      <w:r>
        <w:rPr>
          <w:rFonts w:hint="eastAsia"/>
          <w:szCs w:val="21"/>
        </w:rPr>
        <w:t>6．</w:t>
      </w:r>
      <w:r>
        <w:rPr>
          <w:szCs w:val="21"/>
          <w:u w:val="single"/>
        </w:rPr>
        <w:t xml:space="preserve">                                       </w:t>
      </w:r>
      <w:r>
        <w:rPr>
          <w:szCs w:val="21"/>
        </w:rPr>
        <w:t>（</w:t>
      </w:r>
      <w:r>
        <w:rPr>
          <w:rFonts w:hint="eastAsia"/>
          <w:szCs w:val="21"/>
        </w:rPr>
        <w:t>其他</w:t>
      </w:r>
      <w:r>
        <w:rPr>
          <w:szCs w:val="21"/>
        </w:rPr>
        <w:t>补充说明）。</w:t>
      </w:r>
    </w:p>
    <w:p>
      <w:pPr>
        <w:spacing w:line="440" w:lineRule="exact"/>
        <w:rPr>
          <w:szCs w:val="21"/>
        </w:rPr>
      </w:pPr>
    </w:p>
    <w:p>
      <w:pPr>
        <w:spacing w:line="440" w:lineRule="exact"/>
        <w:ind w:firstLine="3675" w:firstLineChars="1750"/>
        <w:rPr>
          <w:szCs w:val="21"/>
        </w:rPr>
      </w:pPr>
      <w:r>
        <w:rPr>
          <w:szCs w:val="21"/>
        </w:rPr>
        <w:t>投 标 人：</w:t>
      </w:r>
      <w:r>
        <w:rPr>
          <w:szCs w:val="21"/>
          <w:u w:val="single"/>
        </w:rPr>
        <w:t xml:space="preserve">                      </w:t>
      </w:r>
      <w:r>
        <w:rPr>
          <w:szCs w:val="21"/>
        </w:rPr>
        <w:t>（盖单位章）</w:t>
      </w:r>
    </w:p>
    <w:p>
      <w:pPr>
        <w:spacing w:line="440" w:lineRule="exact"/>
        <w:ind w:firstLine="3675" w:firstLineChars="1750"/>
        <w:rPr>
          <w:szCs w:val="21"/>
        </w:rPr>
      </w:pPr>
      <w:r>
        <w:rPr>
          <w:szCs w:val="21"/>
        </w:rPr>
        <w:t>法定代表人或其委托代理人：</w:t>
      </w:r>
      <w:r>
        <w:rPr>
          <w:szCs w:val="21"/>
          <w:u w:val="single"/>
        </w:rPr>
        <w:t xml:space="preserve">      </w:t>
      </w:r>
      <w:r>
        <w:rPr>
          <w:rFonts w:hint="eastAsia"/>
          <w:szCs w:val="21"/>
          <w:u w:val="single"/>
        </w:rPr>
        <w:t xml:space="preserve">   </w:t>
      </w:r>
      <w:r>
        <w:rPr>
          <w:szCs w:val="21"/>
          <w:u w:val="single"/>
        </w:rPr>
        <w:t xml:space="preserve"> </w:t>
      </w:r>
      <w:r>
        <w:rPr>
          <w:szCs w:val="21"/>
        </w:rPr>
        <w:t>（签字）</w:t>
      </w:r>
    </w:p>
    <w:p>
      <w:pPr>
        <w:spacing w:line="440" w:lineRule="exact"/>
        <w:ind w:firstLine="3675" w:firstLineChars="1750"/>
        <w:rPr>
          <w:szCs w:val="21"/>
        </w:rPr>
      </w:pPr>
      <w:r>
        <w:rPr>
          <w:szCs w:val="21"/>
        </w:rPr>
        <w:t>地址：</w:t>
      </w:r>
      <w:r>
        <w:rPr>
          <w:szCs w:val="21"/>
          <w:u w:val="single"/>
        </w:rPr>
        <w:t xml:space="preserve">                                     </w:t>
      </w:r>
    </w:p>
    <w:p>
      <w:pPr>
        <w:spacing w:line="440" w:lineRule="exact"/>
        <w:ind w:firstLine="3675" w:firstLineChars="1750"/>
        <w:rPr>
          <w:szCs w:val="21"/>
        </w:rPr>
      </w:pPr>
      <w:r>
        <w:rPr>
          <w:szCs w:val="21"/>
        </w:rPr>
        <w:t>网址：</w:t>
      </w:r>
      <w:r>
        <w:rPr>
          <w:szCs w:val="21"/>
          <w:u w:val="single"/>
        </w:rPr>
        <w:t xml:space="preserve">                                     </w:t>
      </w:r>
    </w:p>
    <w:p>
      <w:pPr>
        <w:spacing w:line="440" w:lineRule="exact"/>
        <w:ind w:firstLine="3675" w:firstLineChars="1750"/>
        <w:rPr>
          <w:szCs w:val="21"/>
        </w:rPr>
      </w:pPr>
      <w:r>
        <w:rPr>
          <w:szCs w:val="21"/>
        </w:rPr>
        <w:t>电话：</w:t>
      </w:r>
      <w:r>
        <w:rPr>
          <w:szCs w:val="21"/>
          <w:u w:val="single"/>
        </w:rPr>
        <w:t xml:space="preserve">                                     </w:t>
      </w:r>
    </w:p>
    <w:p>
      <w:pPr>
        <w:spacing w:line="440" w:lineRule="exact"/>
        <w:ind w:firstLine="3675" w:firstLineChars="1750"/>
        <w:rPr>
          <w:szCs w:val="21"/>
        </w:rPr>
      </w:pPr>
      <w:r>
        <w:rPr>
          <w:szCs w:val="21"/>
        </w:rPr>
        <w:t>传真：</w:t>
      </w:r>
      <w:r>
        <w:rPr>
          <w:szCs w:val="21"/>
          <w:u w:val="single"/>
        </w:rPr>
        <w:t xml:space="preserve">                                     </w:t>
      </w:r>
    </w:p>
    <w:p>
      <w:pPr>
        <w:spacing w:line="440" w:lineRule="exact"/>
        <w:ind w:firstLine="3675" w:firstLineChars="1750"/>
        <w:rPr>
          <w:szCs w:val="21"/>
        </w:rPr>
      </w:pPr>
      <w:r>
        <w:rPr>
          <w:szCs w:val="21"/>
        </w:rPr>
        <w:t>邮政编码：</w:t>
      </w:r>
      <w:r>
        <w:rPr>
          <w:szCs w:val="21"/>
          <w:u w:val="single"/>
        </w:rPr>
        <w:t xml:space="preserve">                                 </w:t>
      </w:r>
    </w:p>
    <w:p>
      <w:pPr>
        <w:spacing w:line="440" w:lineRule="exact"/>
        <w:ind w:firstLine="5040" w:firstLineChars="2400"/>
        <w:rPr>
          <w:szCs w:val="21"/>
        </w:rPr>
      </w:pPr>
      <w:r>
        <w:rPr>
          <w:rFonts w:hint="eastAsia"/>
          <w:szCs w:val="21"/>
          <w:u w:val="single"/>
        </w:rPr>
        <w:t xml:space="preserve">        </w:t>
      </w:r>
      <w:r>
        <w:rPr>
          <w:szCs w:val="21"/>
        </w:rPr>
        <w:t>年</w:t>
      </w:r>
      <w:r>
        <w:rPr>
          <w:rFonts w:hint="eastAsia"/>
          <w:szCs w:val="21"/>
          <w:u w:val="single"/>
        </w:rPr>
        <w:t xml:space="preserve">        </w:t>
      </w:r>
      <w:r>
        <w:rPr>
          <w:szCs w:val="21"/>
        </w:rPr>
        <w:t>月</w:t>
      </w:r>
      <w:r>
        <w:rPr>
          <w:rFonts w:hint="eastAsia"/>
          <w:szCs w:val="21"/>
          <w:u w:val="single"/>
        </w:rPr>
        <w:t xml:space="preserve">        </w:t>
      </w:r>
      <w:r>
        <w:rPr>
          <w:szCs w:val="21"/>
        </w:rPr>
        <w:t>日</w:t>
      </w:r>
    </w:p>
    <w:p>
      <w:pPr>
        <w:spacing w:line="440" w:lineRule="exact"/>
        <w:rPr>
          <w:rFonts w:eastAsia="黑体"/>
          <w:szCs w:val="21"/>
        </w:rPr>
      </w:pPr>
    </w:p>
    <w:p>
      <w:pPr>
        <w:spacing w:before="240" w:beforeLines="100" w:after="120" w:afterLines="50" w:line="510" w:lineRule="exact"/>
        <w:jc w:val="center"/>
        <w:outlineLvl w:val="0"/>
        <w:rPr>
          <w:rFonts w:ascii="黑体" w:hAnsi="宋体" w:eastAsia="黑体"/>
          <w:sz w:val="24"/>
        </w:rPr>
      </w:pPr>
    </w:p>
    <w:p>
      <w:pPr>
        <w:spacing w:before="240" w:beforeLines="100" w:after="120" w:afterLines="50" w:line="510" w:lineRule="exact"/>
        <w:jc w:val="center"/>
        <w:outlineLvl w:val="0"/>
        <w:rPr>
          <w:rFonts w:ascii="黑体" w:hAnsi="宋体" w:eastAsia="黑体"/>
          <w:sz w:val="24"/>
        </w:rPr>
      </w:pPr>
    </w:p>
    <w:p>
      <w:pPr>
        <w:spacing w:before="240" w:beforeLines="100" w:after="120" w:afterLines="50" w:line="510" w:lineRule="exact"/>
        <w:outlineLvl w:val="0"/>
        <w:rPr>
          <w:rFonts w:ascii="黑体" w:hAnsi="宋体" w:eastAsia="黑体"/>
          <w:sz w:val="24"/>
        </w:rPr>
      </w:pPr>
    </w:p>
    <w:p>
      <w:pPr>
        <w:spacing w:before="240" w:beforeLines="100" w:after="120" w:afterLines="50" w:line="510" w:lineRule="exact"/>
        <w:outlineLvl w:val="0"/>
        <w:rPr>
          <w:rFonts w:ascii="黑体" w:hAnsi="宋体" w:eastAsia="黑体"/>
          <w:sz w:val="24"/>
        </w:rPr>
      </w:pPr>
      <w:bookmarkStart w:id="118" w:name="_GoBack"/>
      <w:bookmarkEnd w:id="118"/>
    </w:p>
    <w:p>
      <w:pPr>
        <w:spacing w:before="240" w:beforeLines="100" w:after="120" w:afterLines="50" w:line="510" w:lineRule="exact"/>
        <w:jc w:val="center"/>
        <w:outlineLvl w:val="0"/>
        <w:rPr>
          <w:rFonts w:ascii="黑体" w:hAnsi="宋体" w:eastAsia="黑体"/>
          <w:sz w:val="24"/>
        </w:rPr>
      </w:pPr>
      <w:bookmarkStart w:id="73" w:name="_Toc41309521"/>
      <w:bookmarkStart w:id="74" w:name="_Toc455588670"/>
      <w:r>
        <w:rPr>
          <w:rFonts w:hint="eastAsia" w:ascii="黑体" w:hAnsi="宋体" w:eastAsia="黑体"/>
          <w:sz w:val="24"/>
        </w:rPr>
        <w:t>（二）投标函附录</w:t>
      </w:r>
      <w:bookmarkEnd w:id="73"/>
      <w:bookmarkEnd w:id="74"/>
    </w:p>
    <w:p>
      <w:pPr>
        <w:rPr>
          <w:rFonts w:ascii="宋体" w:hAnsi="宋体"/>
          <w:szCs w:val="21"/>
        </w:rPr>
      </w:pPr>
      <w:r>
        <w:rPr>
          <w:rFonts w:hint="eastAsia" w:ascii="宋体" w:hAnsi="宋体"/>
          <w:b/>
          <w:szCs w:val="21"/>
        </w:rPr>
        <w:t>工程名称：</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标段</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693"/>
        <w:gridCol w:w="1418"/>
        <w:gridCol w:w="1906"/>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ascii="宋体" w:hAnsi="宋体"/>
                <w:szCs w:val="21"/>
              </w:rPr>
            </w:pPr>
            <w:r>
              <w:rPr>
                <w:rFonts w:hint="eastAsia" w:ascii="宋体" w:hAnsi="宋体"/>
                <w:szCs w:val="21"/>
              </w:rPr>
              <w:t>序 号</w:t>
            </w:r>
          </w:p>
        </w:tc>
        <w:tc>
          <w:tcPr>
            <w:tcW w:w="2693" w:type="dxa"/>
            <w:vAlign w:val="center"/>
          </w:tcPr>
          <w:p>
            <w:pPr>
              <w:jc w:val="center"/>
              <w:rPr>
                <w:rFonts w:ascii="宋体" w:hAnsi="宋体"/>
                <w:szCs w:val="21"/>
              </w:rPr>
            </w:pPr>
            <w:r>
              <w:rPr>
                <w:rFonts w:hint="eastAsia" w:ascii="宋体" w:hAnsi="宋体"/>
                <w:szCs w:val="21"/>
              </w:rPr>
              <w:t>条款内容</w:t>
            </w:r>
          </w:p>
        </w:tc>
        <w:tc>
          <w:tcPr>
            <w:tcW w:w="1418" w:type="dxa"/>
            <w:vAlign w:val="center"/>
          </w:tcPr>
          <w:p>
            <w:pPr>
              <w:jc w:val="center"/>
              <w:rPr>
                <w:rFonts w:ascii="宋体" w:hAnsi="宋体"/>
                <w:szCs w:val="21"/>
              </w:rPr>
            </w:pPr>
            <w:r>
              <w:rPr>
                <w:rFonts w:hint="eastAsia" w:ascii="宋体" w:hAnsi="宋体"/>
                <w:szCs w:val="21"/>
              </w:rPr>
              <w:t>合同条款号</w:t>
            </w:r>
          </w:p>
        </w:tc>
        <w:tc>
          <w:tcPr>
            <w:tcW w:w="1906" w:type="dxa"/>
            <w:vAlign w:val="center"/>
          </w:tcPr>
          <w:p>
            <w:pPr>
              <w:jc w:val="center"/>
              <w:rPr>
                <w:rFonts w:ascii="宋体" w:hAnsi="宋体"/>
                <w:szCs w:val="21"/>
              </w:rPr>
            </w:pPr>
            <w:r>
              <w:rPr>
                <w:rFonts w:hint="eastAsia" w:ascii="宋体" w:hAnsi="宋体"/>
                <w:szCs w:val="21"/>
              </w:rPr>
              <w:t>约定内容</w:t>
            </w:r>
          </w:p>
        </w:tc>
        <w:tc>
          <w:tcPr>
            <w:tcW w:w="1637" w:type="dxa"/>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ascii="黑体" w:hAnsi="宋体" w:eastAsia="黑体"/>
                <w:szCs w:val="21"/>
              </w:rPr>
            </w:pPr>
            <w:r>
              <w:rPr>
                <w:rFonts w:hint="eastAsia" w:ascii="黑体" w:hAnsi="宋体" w:eastAsia="黑体"/>
                <w:szCs w:val="21"/>
              </w:rPr>
              <w:t>1</w:t>
            </w:r>
          </w:p>
        </w:tc>
        <w:tc>
          <w:tcPr>
            <w:tcW w:w="2693" w:type="dxa"/>
            <w:vAlign w:val="center"/>
          </w:tcPr>
          <w:p>
            <w:pPr>
              <w:rPr>
                <w:rFonts w:ascii="宋体" w:hAnsi="宋体"/>
                <w:szCs w:val="21"/>
              </w:rPr>
            </w:pPr>
            <w:r>
              <w:rPr>
                <w:rFonts w:hint="eastAsia" w:ascii="宋体" w:hAnsi="宋体"/>
                <w:szCs w:val="21"/>
              </w:rPr>
              <w:t>项目负责人</w:t>
            </w:r>
          </w:p>
        </w:tc>
        <w:tc>
          <w:tcPr>
            <w:tcW w:w="1418" w:type="dxa"/>
            <w:tcMar>
              <w:left w:w="170" w:type="dxa"/>
            </w:tcMar>
            <w:vAlign w:val="center"/>
          </w:tcPr>
          <w:p>
            <w:pPr>
              <w:rPr>
                <w:rFonts w:ascii="黑体" w:hAnsi="宋体" w:eastAsia="黑体"/>
                <w:szCs w:val="21"/>
              </w:rPr>
            </w:pPr>
            <w:r>
              <w:rPr>
                <w:rFonts w:hint="eastAsia" w:ascii="黑体" w:hAnsi="宋体" w:eastAsia="黑体"/>
                <w:szCs w:val="21"/>
              </w:rPr>
              <w:t>1.1.2.4</w:t>
            </w:r>
          </w:p>
        </w:tc>
        <w:tc>
          <w:tcPr>
            <w:tcW w:w="1906" w:type="dxa"/>
            <w:vAlign w:val="center"/>
          </w:tcPr>
          <w:p>
            <w:pPr>
              <w:rPr>
                <w:rFonts w:ascii="宋体" w:hAnsi="宋体"/>
                <w:szCs w:val="21"/>
              </w:rPr>
            </w:pPr>
            <w:r>
              <w:rPr>
                <w:rFonts w:hint="eastAsia" w:ascii="宋体" w:hAnsi="宋体"/>
                <w:szCs w:val="21"/>
              </w:rPr>
              <w:t>姓名：</w:t>
            </w:r>
            <w:r>
              <w:rPr>
                <w:rFonts w:hint="eastAsia" w:ascii="宋体" w:hAnsi="宋体"/>
                <w:szCs w:val="21"/>
                <w:u w:val="single"/>
              </w:rPr>
              <w:t xml:space="preserve">          </w:t>
            </w:r>
          </w:p>
        </w:tc>
        <w:tc>
          <w:tcPr>
            <w:tcW w:w="163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ascii="黑体" w:hAnsi="宋体" w:eastAsia="黑体"/>
                <w:szCs w:val="21"/>
              </w:rPr>
            </w:pPr>
            <w:r>
              <w:rPr>
                <w:rFonts w:hint="eastAsia" w:ascii="黑体" w:hAnsi="宋体" w:eastAsia="黑体"/>
                <w:szCs w:val="21"/>
              </w:rPr>
              <w:t>2</w:t>
            </w:r>
          </w:p>
        </w:tc>
        <w:tc>
          <w:tcPr>
            <w:tcW w:w="2693" w:type="dxa"/>
            <w:vAlign w:val="center"/>
          </w:tcPr>
          <w:p>
            <w:pPr>
              <w:rPr>
                <w:rFonts w:ascii="宋体" w:hAnsi="宋体"/>
                <w:szCs w:val="21"/>
              </w:rPr>
            </w:pPr>
            <w:r>
              <w:rPr>
                <w:rFonts w:hint="eastAsia" w:ascii="宋体" w:hAnsi="宋体"/>
                <w:szCs w:val="21"/>
              </w:rPr>
              <w:t>工期</w:t>
            </w:r>
          </w:p>
        </w:tc>
        <w:tc>
          <w:tcPr>
            <w:tcW w:w="1418" w:type="dxa"/>
            <w:tcMar>
              <w:left w:w="170" w:type="dxa"/>
            </w:tcMar>
            <w:vAlign w:val="center"/>
          </w:tcPr>
          <w:p>
            <w:pPr>
              <w:rPr>
                <w:rFonts w:ascii="黑体" w:hAnsi="宋体" w:eastAsia="黑体"/>
                <w:szCs w:val="21"/>
              </w:rPr>
            </w:pPr>
            <w:r>
              <w:rPr>
                <w:rFonts w:hint="eastAsia" w:ascii="黑体" w:hAnsi="宋体" w:eastAsia="黑体"/>
                <w:szCs w:val="21"/>
              </w:rPr>
              <w:t>1.1.4.3</w:t>
            </w:r>
          </w:p>
        </w:tc>
        <w:tc>
          <w:tcPr>
            <w:tcW w:w="1906" w:type="dxa"/>
            <w:vAlign w:val="center"/>
          </w:tcPr>
          <w:p>
            <w:pPr>
              <w:jc w:val="center"/>
              <w:rPr>
                <w:rFonts w:ascii="宋体" w:hAnsi="宋体"/>
                <w:szCs w:val="21"/>
              </w:rPr>
            </w:pPr>
          </w:p>
        </w:tc>
        <w:tc>
          <w:tcPr>
            <w:tcW w:w="163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ascii="黑体" w:hAnsi="宋体" w:eastAsia="黑体"/>
                <w:szCs w:val="21"/>
              </w:rPr>
            </w:pPr>
            <w:r>
              <w:rPr>
                <w:rFonts w:hint="eastAsia" w:ascii="黑体" w:hAnsi="宋体" w:eastAsia="黑体"/>
                <w:szCs w:val="21"/>
              </w:rPr>
              <w:t>3</w:t>
            </w:r>
          </w:p>
        </w:tc>
        <w:tc>
          <w:tcPr>
            <w:tcW w:w="2693" w:type="dxa"/>
            <w:vAlign w:val="center"/>
          </w:tcPr>
          <w:p>
            <w:pPr>
              <w:rPr>
                <w:rFonts w:ascii="宋体" w:hAnsi="宋体"/>
                <w:szCs w:val="21"/>
              </w:rPr>
            </w:pPr>
            <w:r>
              <w:rPr>
                <w:rFonts w:hint="eastAsia" w:ascii="宋体" w:hAnsi="宋体"/>
                <w:szCs w:val="21"/>
              </w:rPr>
              <w:t>缺陷责任期</w:t>
            </w:r>
          </w:p>
        </w:tc>
        <w:tc>
          <w:tcPr>
            <w:tcW w:w="1418" w:type="dxa"/>
            <w:tcMar>
              <w:left w:w="170" w:type="dxa"/>
            </w:tcMar>
            <w:vAlign w:val="center"/>
          </w:tcPr>
          <w:p>
            <w:pPr>
              <w:rPr>
                <w:rFonts w:ascii="黑体" w:hAnsi="宋体" w:eastAsia="黑体"/>
                <w:szCs w:val="21"/>
              </w:rPr>
            </w:pPr>
            <w:r>
              <w:rPr>
                <w:rFonts w:hint="eastAsia" w:ascii="黑体" w:hAnsi="宋体" w:eastAsia="黑体"/>
                <w:szCs w:val="21"/>
              </w:rPr>
              <w:t>1.1.4.5</w:t>
            </w:r>
          </w:p>
        </w:tc>
        <w:tc>
          <w:tcPr>
            <w:tcW w:w="1906" w:type="dxa"/>
            <w:vAlign w:val="center"/>
          </w:tcPr>
          <w:p>
            <w:pPr>
              <w:jc w:val="center"/>
              <w:rPr>
                <w:rFonts w:ascii="宋体" w:hAnsi="宋体"/>
                <w:szCs w:val="21"/>
              </w:rPr>
            </w:pPr>
          </w:p>
        </w:tc>
        <w:tc>
          <w:tcPr>
            <w:tcW w:w="163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ascii="黑体" w:hAnsi="宋体" w:eastAsia="黑体"/>
                <w:szCs w:val="21"/>
              </w:rPr>
            </w:pPr>
            <w:r>
              <w:rPr>
                <w:rFonts w:hint="eastAsia" w:ascii="黑体" w:hAnsi="宋体" w:eastAsia="黑体"/>
                <w:szCs w:val="21"/>
              </w:rPr>
              <w:t>4</w:t>
            </w:r>
          </w:p>
        </w:tc>
        <w:tc>
          <w:tcPr>
            <w:tcW w:w="2693" w:type="dxa"/>
            <w:vAlign w:val="center"/>
          </w:tcPr>
          <w:p>
            <w:pPr>
              <w:rPr>
                <w:rFonts w:ascii="宋体" w:hAnsi="宋体"/>
                <w:szCs w:val="21"/>
              </w:rPr>
            </w:pPr>
            <w:r>
              <w:rPr>
                <w:rFonts w:hint="eastAsia" w:ascii="宋体" w:hAnsi="宋体"/>
                <w:szCs w:val="21"/>
              </w:rPr>
              <w:t>质量标准</w:t>
            </w:r>
          </w:p>
        </w:tc>
        <w:tc>
          <w:tcPr>
            <w:tcW w:w="1418" w:type="dxa"/>
            <w:tcMar>
              <w:left w:w="170" w:type="dxa"/>
            </w:tcMar>
            <w:vAlign w:val="center"/>
          </w:tcPr>
          <w:p>
            <w:pPr>
              <w:rPr>
                <w:rFonts w:ascii="黑体" w:hAnsi="宋体" w:eastAsia="黑体"/>
                <w:szCs w:val="21"/>
              </w:rPr>
            </w:pPr>
            <w:r>
              <w:rPr>
                <w:rFonts w:hint="eastAsia" w:ascii="黑体" w:hAnsi="宋体" w:eastAsia="黑体"/>
                <w:szCs w:val="21"/>
              </w:rPr>
              <w:t>13.1</w:t>
            </w:r>
          </w:p>
        </w:tc>
        <w:tc>
          <w:tcPr>
            <w:tcW w:w="1906" w:type="dxa"/>
            <w:vAlign w:val="center"/>
          </w:tcPr>
          <w:p>
            <w:pPr>
              <w:jc w:val="center"/>
              <w:rPr>
                <w:rFonts w:ascii="宋体" w:hAnsi="宋体"/>
                <w:szCs w:val="21"/>
              </w:rPr>
            </w:pPr>
          </w:p>
        </w:tc>
        <w:tc>
          <w:tcPr>
            <w:tcW w:w="163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ascii="宋体" w:hAnsi="宋体"/>
                <w:szCs w:val="21"/>
              </w:rPr>
            </w:pPr>
            <w:r>
              <w:rPr>
                <w:rFonts w:hint="eastAsia" w:ascii="宋体" w:hAnsi="宋体"/>
                <w:szCs w:val="21"/>
              </w:rPr>
              <w:t>5</w:t>
            </w:r>
          </w:p>
        </w:tc>
        <w:tc>
          <w:tcPr>
            <w:tcW w:w="2693" w:type="dxa"/>
            <w:vAlign w:val="center"/>
          </w:tcPr>
          <w:p>
            <w:pPr>
              <w:rPr>
                <w:rFonts w:ascii="宋体" w:hAnsi="宋体"/>
                <w:szCs w:val="21"/>
              </w:rPr>
            </w:pPr>
            <w:r>
              <w:rPr>
                <w:rFonts w:hint="eastAsia" w:ascii="宋体" w:hAnsi="宋体"/>
                <w:szCs w:val="21"/>
              </w:rPr>
              <w:t>投标有效期</w:t>
            </w:r>
          </w:p>
        </w:tc>
        <w:tc>
          <w:tcPr>
            <w:tcW w:w="1418" w:type="dxa"/>
            <w:tcMar>
              <w:left w:w="170" w:type="dxa"/>
            </w:tcMar>
            <w:vAlign w:val="center"/>
          </w:tcPr>
          <w:p>
            <w:pPr>
              <w:rPr>
                <w:rFonts w:ascii="宋体" w:hAnsi="宋体"/>
                <w:szCs w:val="21"/>
              </w:rPr>
            </w:pPr>
            <w:r>
              <w:rPr>
                <w:rFonts w:hint="eastAsia" w:ascii="宋体" w:hAnsi="宋体"/>
                <w:szCs w:val="21"/>
              </w:rPr>
              <w:t>3.3.1</w:t>
            </w:r>
          </w:p>
        </w:tc>
        <w:tc>
          <w:tcPr>
            <w:tcW w:w="1906" w:type="dxa"/>
            <w:vAlign w:val="center"/>
          </w:tcPr>
          <w:p>
            <w:pPr>
              <w:jc w:val="center"/>
              <w:rPr>
                <w:rFonts w:ascii="宋体" w:hAnsi="宋体"/>
                <w:szCs w:val="21"/>
              </w:rPr>
            </w:pPr>
            <w:r>
              <w:rPr>
                <w:rFonts w:hint="eastAsia" w:ascii="宋体" w:hAnsi="宋体"/>
                <w:szCs w:val="21"/>
                <w:u w:val="single"/>
              </w:rPr>
              <w:t xml:space="preserve">          </w:t>
            </w:r>
            <w:r>
              <w:rPr>
                <w:rFonts w:hint="eastAsia" w:ascii="宋体" w:hAnsi="宋体"/>
                <w:szCs w:val="21"/>
              </w:rPr>
              <w:t>天</w:t>
            </w:r>
          </w:p>
        </w:tc>
        <w:tc>
          <w:tcPr>
            <w:tcW w:w="163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jc w:val="center"/>
              <w:rPr>
                <w:rFonts w:ascii="宋体" w:hAnsi="宋体"/>
                <w:szCs w:val="21"/>
              </w:rPr>
            </w:pPr>
            <w:r>
              <w:rPr>
                <w:rFonts w:hint="eastAsia" w:ascii="宋体" w:hAnsi="宋体"/>
                <w:szCs w:val="21"/>
              </w:rPr>
              <w:t>……</w:t>
            </w:r>
          </w:p>
        </w:tc>
        <w:tc>
          <w:tcPr>
            <w:tcW w:w="2693" w:type="dxa"/>
            <w:vAlign w:val="center"/>
          </w:tcPr>
          <w:p>
            <w:pPr>
              <w:jc w:val="center"/>
              <w:rPr>
                <w:rFonts w:ascii="宋体" w:hAnsi="宋体"/>
                <w:szCs w:val="21"/>
              </w:rPr>
            </w:pPr>
            <w:r>
              <w:rPr>
                <w:rFonts w:hint="eastAsia" w:ascii="宋体" w:hAnsi="宋体"/>
                <w:szCs w:val="21"/>
              </w:rPr>
              <w:t>……</w:t>
            </w:r>
          </w:p>
        </w:tc>
        <w:tc>
          <w:tcPr>
            <w:tcW w:w="1418" w:type="dxa"/>
            <w:vAlign w:val="center"/>
          </w:tcPr>
          <w:p>
            <w:pPr>
              <w:jc w:val="center"/>
              <w:rPr>
                <w:rFonts w:ascii="宋体" w:hAnsi="宋体"/>
                <w:szCs w:val="21"/>
              </w:rPr>
            </w:pPr>
          </w:p>
        </w:tc>
        <w:tc>
          <w:tcPr>
            <w:tcW w:w="1906" w:type="dxa"/>
            <w:vAlign w:val="center"/>
          </w:tcPr>
          <w:p>
            <w:pPr>
              <w:jc w:val="center"/>
              <w:rPr>
                <w:rFonts w:ascii="宋体" w:hAnsi="宋体"/>
                <w:szCs w:val="21"/>
              </w:rPr>
            </w:pPr>
          </w:p>
        </w:tc>
        <w:tc>
          <w:tcPr>
            <w:tcW w:w="163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505" w:type="dxa"/>
            <w:gridSpan w:val="5"/>
            <w:vAlign w:val="center"/>
          </w:tcPr>
          <w:p>
            <w:pPr>
              <w:rPr>
                <w:rFonts w:ascii="宋体" w:hAnsi="宋体"/>
                <w:szCs w:val="21"/>
              </w:rPr>
            </w:pPr>
            <w:r>
              <w:rPr>
                <w:rFonts w:hint="eastAsia" w:ascii="黑体" w:hAnsi="宋体" w:eastAsia="黑体"/>
                <w:szCs w:val="21"/>
              </w:rPr>
              <w:t>备注：</w:t>
            </w:r>
            <w:r>
              <w:rPr>
                <w:rFonts w:hint="eastAsia" w:ascii="宋体" w:hAnsi="宋体"/>
                <w:szCs w:val="21"/>
              </w:rPr>
              <w:t>投标人在响应招标文件中规定的实质性要求和条件的基础上，可做出其他有利于招标人的承诺。此类承诺可在本表中予以补充填写。</w:t>
            </w:r>
          </w:p>
        </w:tc>
      </w:tr>
    </w:tbl>
    <w:p>
      <w:pPr>
        <w:spacing w:line="480" w:lineRule="exact"/>
        <w:ind w:firstLine="422" w:firstLineChars="200"/>
        <w:rPr>
          <w:rFonts w:ascii="宋体" w:hAnsi="宋体"/>
          <w:szCs w:val="21"/>
        </w:rPr>
      </w:pPr>
      <w:r>
        <w:rPr>
          <w:rFonts w:hint="eastAsia" w:ascii="宋体" w:hAnsi="宋体"/>
          <w:b/>
          <w:szCs w:val="21"/>
        </w:rPr>
        <w:t>投标人</w:t>
      </w:r>
      <w:r>
        <w:rPr>
          <w:rFonts w:hint="eastAsia" w:ascii="宋体" w:hAnsi="宋体"/>
          <w:szCs w:val="21"/>
        </w:rPr>
        <w:t>（盖章）：</w:t>
      </w:r>
    </w:p>
    <w:p>
      <w:pPr>
        <w:spacing w:line="480" w:lineRule="exact"/>
        <w:ind w:firstLine="422" w:firstLineChars="200"/>
        <w:rPr>
          <w:rFonts w:ascii="宋体" w:hAnsi="宋体"/>
          <w:szCs w:val="21"/>
        </w:rPr>
      </w:pPr>
      <w:r>
        <w:rPr>
          <w:rFonts w:hint="eastAsia" w:ascii="宋体" w:hAnsi="宋体"/>
          <w:b/>
          <w:szCs w:val="21"/>
        </w:rPr>
        <w:t>法人代表或委托代理人</w:t>
      </w:r>
      <w:r>
        <w:rPr>
          <w:rFonts w:hint="eastAsia" w:ascii="宋体" w:hAnsi="宋体"/>
          <w:szCs w:val="21"/>
        </w:rPr>
        <w:t>（签字或盖章）：</w:t>
      </w:r>
    </w:p>
    <w:p>
      <w:pPr>
        <w:spacing w:line="480" w:lineRule="exact"/>
        <w:ind w:firstLine="422" w:firstLineChars="200"/>
        <w:rPr>
          <w:rFonts w:ascii="宋体" w:hAnsi="宋体"/>
          <w:b/>
          <w:szCs w:val="21"/>
        </w:rPr>
      </w:pPr>
      <w:r>
        <w:rPr>
          <w:rFonts w:hint="eastAsia" w:ascii="宋体" w:hAnsi="宋体"/>
          <w:b/>
          <w:szCs w:val="21"/>
        </w:rPr>
        <w:t>日期：</w:t>
      </w:r>
      <w:r>
        <w:rPr>
          <w:rFonts w:hint="eastAsia" w:ascii="宋体" w:hAnsi="宋体"/>
          <w:b/>
          <w:szCs w:val="21"/>
          <w:u w:val="single"/>
        </w:rPr>
        <w:t xml:space="preserve">    </w:t>
      </w:r>
      <w:r>
        <w:rPr>
          <w:rFonts w:hint="eastAsia" w:ascii="宋体" w:hAnsi="宋体"/>
          <w:b/>
          <w:szCs w:val="21"/>
        </w:rPr>
        <w:t>年</w:t>
      </w:r>
      <w:r>
        <w:rPr>
          <w:rFonts w:hint="eastAsia" w:ascii="宋体" w:hAnsi="宋体"/>
          <w:b/>
          <w:szCs w:val="21"/>
          <w:u w:val="single"/>
        </w:rPr>
        <w:t xml:space="preserve">      </w:t>
      </w:r>
      <w:r>
        <w:rPr>
          <w:rFonts w:hint="eastAsia" w:ascii="宋体" w:hAnsi="宋体"/>
          <w:b/>
          <w:szCs w:val="21"/>
        </w:rPr>
        <w:t>月</w:t>
      </w:r>
      <w:r>
        <w:rPr>
          <w:rFonts w:hint="eastAsia" w:ascii="宋体" w:hAnsi="宋体"/>
          <w:b/>
          <w:szCs w:val="21"/>
          <w:u w:val="single"/>
        </w:rPr>
        <w:t xml:space="preserve">      </w:t>
      </w:r>
      <w:r>
        <w:rPr>
          <w:rFonts w:hint="eastAsia" w:ascii="宋体" w:hAnsi="宋体"/>
          <w:b/>
          <w:szCs w:val="21"/>
        </w:rPr>
        <w:t>日</w:t>
      </w:r>
    </w:p>
    <w:p>
      <w:pPr>
        <w:spacing w:before="240" w:beforeLines="100" w:after="120" w:afterLines="50"/>
        <w:jc w:val="center"/>
        <w:outlineLvl w:val="0"/>
        <w:rPr>
          <w:rFonts w:ascii="黑体" w:hAnsi="宋体" w:eastAsia="黑体"/>
          <w:sz w:val="28"/>
          <w:szCs w:val="28"/>
        </w:rPr>
      </w:pPr>
      <w:r>
        <w:rPr>
          <w:rFonts w:ascii="宋体" w:hAnsi="宋体"/>
          <w:b/>
          <w:szCs w:val="21"/>
        </w:rPr>
        <w:br w:type="page"/>
      </w:r>
      <w:bookmarkStart w:id="75" w:name="_Toc41309522"/>
      <w:bookmarkStart w:id="76" w:name="_Toc19944"/>
      <w:bookmarkStart w:id="77" w:name="_Toc31082"/>
      <w:bookmarkStart w:id="78" w:name="_Toc455588671"/>
      <w:r>
        <w:rPr>
          <w:rFonts w:hint="eastAsia" w:ascii="黑体" w:hAnsi="宋体" w:eastAsia="黑体"/>
          <w:sz w:val="28"/>
          <w:szCs w:val="28"/>
        </w:rPr>
        <w:t>二、法定代表人身份证明</w:t>
      </w:r>
      <w:bookmarkEnd w:id="75"/>
      <w:bookmarkEnd w:id="76"/>
      <w:bookmarkEnd w:id="77"/>
      <w:bookmarkEnd w:id="78"/>
    </w:p>
    <w:p>
      <w:pPr>
        <w:spacing w:line="500" w:lineRule="exact"/>
        <w:rPr>
          <w:rFonts w:ascii="黑体" w:hAnsi="宋体" w:eastAsia="黑体"/>
          <w:szCs w:val="21"/>
        </w:rPr>
      </w:pPr>
      <w:r>
        <w:rPr>
          <w:rFonts w:hint="eastAsia" w:ascii="黑体" w:hAnsi="宋体" w:eastAsia="黑体"/>
          <w:szCs w:val="21"/>
        </w:rPr>
        <w:t>投 标 人：</w:t>
      </w:r>
      <w:r>
        <w:rPr>
          <w:rFonts w:hint="eastAsia" w:ascii="宋体" w:hAnsi="宋体"/>
          <w:szCs w:val="21"/>
          <w:u w:val="single"/>
        </w:rPr>
        <w:t xml:space="preserve">                                                        </w:t>
      </w:r>
    </w:p>
    <w:p>
      <w:pPr>
        <w:spacing w:line="500" w:lineRule="exact"/>
        <w:rPr>
          <w:rFonts w:ascii="黑体" w:hAnsi="宋体" w:eastAsia="黑体"/>
          <w:szCs w:val="21"/>
        </w:rPr>
      </w:pPr>
      <w:r>
        <w:rPr>
          <w:rFonts w:hint="eastAsia" w:ascii="黑体" w:hAnsi="宋体" w:eastAsia="黑体"/>
          <w:szCs w:val="21"/>
        </w:rPr>
        <w:t>单位性质：</w:t>
      </w:r>
      <w:r>
        <w:rPr>
          <w:rFonts w:hint="eastAsia" w:ascii="宋体" w:hAnsi="宋体"/>
          <w:szCs w:val="21"/>
          <w:u w:val="single"/>
        </w:rPr>
        <w:t xml:space="preserve">                                                        </w:t>
      </w:r>
    </w:p>
    <w:p>
      <w:pPr>
        <w:spacing w:line="500" w:lineRule="exact"/>
        <w:rPr>
          <w:rFonts w:ascii="黑体" w:hAnsi="宋体" w:eastAsia="黑体"/>
          <w:szCs w:val="21"/>
        </w:rPr>
      </w:pPr>
      <w:r>
        <w:rPr>
          <w:rFonts w:hint="eastAsia" w:ascii="黑体" w:hAnsi="宋体" w:eastAsia="黑体"/>
          <w:szCs w:val="21"/>
        </w:rPr>
        <w:t>地    址：</w:t>
      </w:r>
      <w:r>
        <w:rPr>
          <w:rFonts w:hint="eastAsia" w:ascii="宋体" w:hAnsi="宋体"/>
          <w:szCs w:val="21"/>
          <w:u w:val="single"/>
        </w:rPr>
        <w:t xml:space="preserve">                                                        </w:t>
      </w:r>
    </w:p>
    <w:p>
      <w:pPr>
        <w:spacing w:line="500" w:lineRule="exact"/>
        <w:rPr>
          <w:rFonts w:ascii="宋体" w:hAnsi="宋体"/>
          <w:szCs w:val="21"/>
        </w:rPr>
      </w:pPr>
      <w:r>
        <w:rPr>
          <w:rFonts w:hint="eastAsia" w:ascii="黑体" w:hAnsi="宋体" w:eastAsia="黑体"/>
          <w:szCs w:val="21"/>
        </w:rPr>
        <w:t>成立时间：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500" w:lineRule="exact"/>
        <w:rPr>
          <w:rFonts w:ascii="黑体" w:hAnsi="宋体" w:eastAsia="黑体"/>
          <w:szCs w:val="21"/>
        </w:rPr>
      </w:pPr>
      <w:r>
        <w:rPr>
          <w:rFonts w:hint="eastAsia" w:ascii="黑体" w:hAnsi="宋体" w:eastAsia="黑体"/>
          <w:szCs w:val="21"/>
        </w:rPr>
        <w:t>经营期限：</w:t>
      </w:r>
      <w:r>
        <w:rPr>
          <w:rFonts w:hint="eastAsia" w:ascii="宋体" w:hAnsi="宋体"/>
          <w:szCs w:val="21"/>
          <w:u w:val="single"/>
        </w:rPr>
        <w:t xml:space="preserve">                                                        </w:t>
      </w:r>
    </w:p>
    <w:p>
      <w:pPr>
        <w:spacing w:line="500" w:lineRule="exact"/>
        <w:rPr>
          <w:rFonts w:ascii="黑体" w:hAnsi="宋体" w:eastAsia="黑体"/>
          <w:szCs w:val="21"/>
        </w:rPr>
      </w:pPr>
      <w:r>
        <w:rPr>
          <w:rFonts w:hint="eastAsia" w:ascii="黑体" w:hAnsi="宋体" w:eastAsia="黑体"/>
          <w:szCs w:val="21"/>
        </w:rPr>
        <w:t>姓    名：</w:t>
      </w:r>
      <w:r>
        <w:rPr>
          <w:rFonts w:hint="eastAsia" w:ascii="宋体" w:hAnsi="宋体"/>
          <w:szCs w:val="21"/>
          <w:u w:val="single"/>
        </w:rPr>
        <w:t xml:space="preserve">                          </w:t>
      </w:r>
      <w:r>
        <w:rPr>
          <w:rFonts w:hint="eastAsia" w:ascii="黑体" w:hAnsi="宋体" w:eastAsia="黑体"/>
          <w:szCs w:val="21"/>
        </w:rPr>
        <w:t>性        别：</w:t>
      </w:r>
      <w:r>
        <w:rPr>
          <w:rFonts w:hint="eastAsia" w:ascii="宋体" w:hAnsi="宋体"/>
          <w:szCs w:val="21"/>
          <w:u w:val="single"/>
        </w:rPr>
        <w:t xml:space="preserve">                </w:t>
      </w:r>
    </w:p>
    <w:p>
      <w:pPr>
        <w:spacing w:line="500" w:lineRule="exact"/>
        <w:rPr>
          <w:rFonts w:ascii="黑体" w:hAnsi="宋体" w:eastAsia="黑体"/>
          <w:szCs w:val="21"/>
        </w:rPr>
      </w:pPr>
      <w:r>
        <w:rPr>
          <w:rFonts w:hint="eastAsia" w:ascii="黑体" w:hAnsi="宋体" w:eastAsia="黑体"/>
          <w:szCs w:val="21"/>
        </w:rPr>
        <w:t>年    龄：</w:t>
      </w:r>
      <w:r>
        <w:rPr>
          <w:rFonts w:hint="eastAsia" w:ascii="宋体" w:hAnsi="宋体"/>
          <w:szCs w:val="21"/>
          <w:u w:val="single"/>
        </w:rPr>
        <w:t xml:space="preserve">                          </w:t>
      </w:r>
      <w:r>
        <w:rPr>
          <w:rFonts w:hint="eastAsia" w:ascii="黑体" w:hAnsi="宋体" w:eastAsia="黑体"/>
          <w:szCs w:val="21"/>
        </w:rPr>
        <w:t>职        务：</w:t>
      </w:r>
      <w:r>
        <w:rPr>
          <w:rFonts w:hint="eastAsia" w:ascii="宋体" w:hAnsi="宋体"/>
          <w:szCs w:val="21"/>
          <w:u w:val="single"/>
        </w:rPr>
        <w:t xml:space="preserve">                </w:t>
      </w:r>
    </w:p>
    <w:p>
      <w:pPr>
        <w:spacing w:line="500" w:lineRule="exact"/>
        <w:rPr>
          <w:rFonts w:ascii="宋体" w:hAnsi="宋体"/>
          <w:szCs w:val="21"/>
        </w:rPr>
      </w:pPr>
      <w:r>
        <w:rPr>
          <w:rFonts w:hint="eastAsia" w:ascii="宋体" w:hAnsi="宋体"/>
          <w:szCs w:val="21"/>
        </w:rPr>
        <w:t>系</w:t>
      </w:r>
      <w:r>
        <w:rPr>
          <w:rFonts w:hint="eastAsia" w:ascii="宋体" w:hAnsi="宋体"/>
          <w:szCs w:val="21"/>
          <w:u w:val="single"/>
        </w:rPr>
        <w:t xml:space="preserve">                                                 </w:t>
      </w:r>
      <w:r>
        <w:rPr>
          <w:rFonts w:hint="eastAsia" w:ascii="宋体" w:hAnsi="宋体"/>
          <w:szCs w:val="21"/>
        </w:rPr>
        <w:t>（投标人名称）的法定代表人。</w:t>
      </w:r>
    </w:p>
    <w:p>
      <w:pPr>
        <w:spacing w:line="500" w:lineRule="exact"/>
        <w:rPr>
          <w:rFonts w:ascii="宋体" w:hAnsi="宋体"/>
          <w:szCs w:val="21"/>
        </w:rPr>
      </w:pPr>
      <w:r>
        <w:rPr>
          <w:rFonts w:hint="eastAsia" w:ascii="宋体" w:hAnsi="宋体"/>
          <w:szCs w:val="21"/>
        </w:rPr>
        <w:t>特此证明。</w:t>
      </w:r>
    </w:p>
    <w:p>
      <w:pPr>
        <w:spacing w:line="500" w:lineRule="exact"/>
        <w:rPr>
          <w:rFonts w:ascii="宋体" w:hAnsi="宋体"/>
          <w:szCs w:val="21"/>
        </w:rPr>
      </w:pPr>
    </w:p>
    <w:p>
      <w:pPr>
        <w:spacing w:line="500" w:lineRule="exact"/>
        <w:rPr>
          <w:rFonts w:ascii="宋体" w:hAnsi="宋体"/>
          <w:szCs w:val="21"/>
        </w:rPr>
      </w:pPr>
    </w:p>
    <w:p>
      <w:pPr>
        <w:wordWrap w:val="0"/>
        <w:spacing w:line="500" w:lineRule="exact"/>
        <w:jc w:val="right"/>
        <w:rPr>
          <w:rFonts w:ascii="宋体" w:hAnsi="宋体"/>
          <w:szCs w:val="21"/>
        </w:rPr>
      </w:pPr>
      <w:r>
        <w:rPr>
          <w:rFonts w:hint="eastAsia" w:ascii="黑体" w:hAnsi="宋体" w:eastAsia="黑体"/>
          <w:szCs w:val="21"/>
        </w:rPr>
        <w:t>投标人：</w:t>
      </w:r>
      <w:r>
        <w:rPr>
          <w:rFonts w:hint="eastAsia" w:ascii="宋体" w:hAnsi="宋体"/>
          <w:szCs w:val="21"/>
          <w:u w:val="single"/>
        </w:rPr>
        <w:t xml:space="preserve">                          </w:t>
      </w:r>
      <w:r>
        <w:rPr>
          <w:rFonts w:hint="eastAsia" w:ascii="宋体" w:hAnsi="宋体"/>
          <w:szCs w:val="21"/>
        </w:rPr>
        <w:t>（盖单位章）</w:t>
      </w:r>
    </w:p>
    <w:p>
      <w:pPr>
        <w:wordWrap w:val="0"/>
        <w:spacing w:line="500" w:lineRule="exact"/>
        <w:jc w:val="right"/>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spacing w:before="240" w:beforeLines="100" w:after="120" w:afterLines="50"/>
        <w:jc w:val="center"/>
        <w:outlineLvl w:val="0"/>
        <w:rPr>
          <w:rFonts w:ascii="黑体" w:hAnsi="宋体" w:eastAsia="黑体"/>
          <w:sz w:val="28"/>
          <w:szCs w:val="28"/>
        </w:rPr>
      </w:pPr>
      <w:r>
        <w:rPr>
          <w:rFonts w:ascii="宋体" w:hAnsi="宋体"/>
          <w:szCs w:val="21"/>
        </w:rPr>
        <w:br w:type="page"/>
      </w:r>
      <w:bookmarkStart w:id="79" w:name="_Toc455588672"/>
      <w:bookmarkStart w:id="80" w:name="_Toc22516"/>
      <w:bookmarkStart w:id="81" w:name="_Toc26322"/>
      <w:bookmarkStart w:id="82" w:name="_Toc41309523"/>
      <w:r>
        <w:rPr>
          <w:rFonts w:hint="eastAsia" w:ascii="黑体" w:hAnsi="宋体" w:eastAsia="黑体"/>
          <w:sz w:val="28"/>
          <w:szCs w:val="28"/>
        </w:rPr>
        <w:t>三、授权委托书</w:t>
      </w:r>
      <w:bookmarkEnd w:id="79"/>
      <w:bookmarkEnd w:id="80"/>
      <w:bookmarkEnd w:id="81"/>
      <w:bookmarkEnd w:id="82"/>
    </w:p>
    <w:p>
      <w:pPr>
        <w:spacing w:line="500" w:lineRule="exact"/>
        <w:ind w:firstLine="420" w:firstLineChars="200"/>
        <w:rPr>
          <w:rFonts w:ascii="宋体" w:hAnsi="宋体"/>
          <w:szCs w:val="21"/>
        </w:rPr>
      </w:pPr>
      <w:r>
        <w:rPr>
          <w:rFonts w:hint="eastAsia" w:ascii="宋体" w:hAnsi="宋体"/>
          <w:szCs w:val="21"/>
        </w:rPr>
        <w:t>本人</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（投标人名称）的法定代表人，现委托</w:t>
      </w:r>
      <w:r>
        <w:rPr>
          <w:rFonts w:hint="eastAsia" w:ascii="宋体" w:hAnsi="宋体"/>
          <w:szCs w:val="21"/>
          <w:u w:val="single"/>
        </w:rPr>
        <w:t xml:space="preserve">      </w:t>
      </w:r>
      <w:r>
        <w:rPr>
          <w:rFonts w:hint="eastAsia" w:ascii="宋体" w:hAnsi="宋体"/>
          <w:szCs w:val="21"/>
        </w:rPr>
        <w:t>（姓名）为我方代理人。代理人根据授权，以我方名义签署、澄清、说明、补正、递交、撤回、修改</w:t>
      </w:r>
      <w:r>
        <w:rPr>
          <w:rFonts w:hint="eastAsia" w:ascii="宋体" w:hAnsi="宋体"/>
          <w:szCs w:val="21"/>
          <w:u w:val="single"/>
        </w:rPr>
        <w:t xml:space="preserve">             </w:t>
      </w:r>
      <w:r>
        <w:rPr>
          <w:rFonts w:hint="eastAsia" w:ascii="宋体" w:hAnsi="宋体"/>
          <w:szCs w:val="21"/>
        </w:rPr>
        <w:t>（项目名称）代建投标文件、签订合同和处理有关事宜，其法律后果由我方承担。</w:t>
      </w:r>
    </w:p>
    <w:p>
      <w:pPr>
        <w:spacing w:before="120" w:beforeLines="50" w:line="500" w:lineRule="exact"/>
        <w:ind w:firstLine="420" w:firstLineChars="200"/>
        <w:rPr>
          <w:rFonts w:ascii="宋体" w:hAnsi="宋体"/>
          <w:szCs w:val="21"/>
        </w:rPr>
      </w:pPr>
      <w:r>
        <w:rPr>
          <w:rFonts w:hint="eastAsia" w:ascii="宋体" w:hAnsi="宋体"/>
          <w:szCs w:val="21"/>
        </w:rPr>
        <w:t>委托期限：</w:t>
      </w:r>
      <w:r>
        <w:rPr>
          <w:rFonts w:hint="eastAsia" w:ascii="宋体" w:hAnsi="宋体"/>
          <w:szCs w:val="21"/>
          <w:u w:val="single"/>
        </w:rPr>
        <w:t xml:space="preserve">                                                          </w:t>
      </w:r>
    </w:p>
    <w:p>
      <w:pPr>
        <w:spacing w:line="500" w:lineRule="exact"/>
        <w:ind w:firstLine="1260" w:firstLineChars="600"/>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before="240" w:beforeLines="100" w:after="240" w:afterLines="100" w:line="500" w:lineRule="exact"/>
        <w:ind w:firstLine="420" w:firstLineChars="200"/>
        <w:rPr>
          <w:rFonts w:ascii="宋体" w:hAnsi="宋体"/>
          <w:szCs w:val="21"/>
        </w:rPr>
      </w:pPr>
      <w:r>
        <w:rPr>
          <w:rFonts w:hint="eastAsia" w:ascii="宋体" w:hAnsi="宋体"/>
          <w:szCs w:val="21"/>
        </w:rPr>
        <w:t>代理人无转委托权。</w:t>
      </w:r>
    </w:p>
    <w:p>
      <w:pPr>
        <w:spacing w:after="240" w:afterLines="100" w:line="500" w:lineRule="exact"/>
        <w:ind w:firstLine="420" w:firstLineChars="200"/>
        <w:rPr>
          <w:rFonts w:ascii="宋体" w:hAnsi="宋体"/>
          <w:szCs w:val="21"/>
        </w:rPr>
      </w:pPr>
      <w:r>
        <w:rPr>
          <w:rFonts w:hint="eastAsia" w:ascii="宋体" w:hAnsi="宋体"/>
          <w:szCs w:val="21"/>
        </w:rPr>
        <w:t>附：法定代表人身份证明</w:t>
      </w:r>
    </w:p>
    <w:p>
      <w:pPr>
        <w:spacing w:line="500" w:lineRule="exact"/>
        <w:rPr>
          <w:rFonts w:ascii="宋体" w:hAnsi="宋体"/>
          <w:szCs w:val="21"/>
        </w:rPr>
      </w:pPr>
    </w:p>
    <w:p>
      <w:pPr>
        <w:spacing w:line="400" w:lineRule="exact"/>
        <w:ind w:firstLine="3570" w:firstLineChars="1700"/>
        <w:rPr>
          <w:rFonts w:ascii="宋体" w:hAnsi="宋体"/>
          <w:szCs w:val="21"/>
        </w:rPr>
      </w:pPr>
      <w:r>
        <w:rPr>
          <w:rFonts w:hint="eastAsia" w:ascii="黑体" w:hAnsi="宋体" w:eastAsia="黑体"/>
          <w:szCs w:val="21"/>
        </w:rPr>
        <w:t>投  标  人：</w:t>
      </w:r>
      <w:r>
        <w:rPr>
          <w:rFonts w:hint="eastAsia" w:ascii="宋体" w:hAnsi="宋体"/>
          <w:szCs w:val="21"/>
          <w:u w:val="single"/>
        </w:rPr>
        <w:t xml:space="preserve">                        </w:t>
      </w:r>
      <w:r>
        <w:rPr>
          <w:rFonts w:hint="eastAsia" w:ascii="宋体" w:hAnsi="宋体"/>
          <w:szCs w:val="21"/>
        </w:rPr>
        <w:t>（盖单位章）</w:t>
      </w:r>
    </w:p>
    <w:p>
      <w:pPr>
        <w:spacing w:line="400" w:lineRule="exact"/>
        <w:ind w:firstLine="3570" w:firstLineChars="1700"/>
        <w:rPr>
          <w:rFonts w:ascii="宋体" w:hAnsi="宋体"/>
          <w:szCs w:val="21"/>
        </w:rPr>
      </w:pPr>
    </w:p>
    <w:p>
      <w:pPr>
        <w:spacing w:line="400" w:lineRule="exact"/>
        <w:ind w:firstLine="3570" w:firstLineChars="1700"/>
        <w:rPr>
          <w:rFonts w:ascii="宋体" w:hAnsi="宋体"/>
          <w:szCs w:val="21"/>
        </w:rPr>
      </w:pPr>
      <w:r>
        <w:rPr>
          <w:rFonts w:hint="eastAsia" w:ascii="黑体" w:hAnsi="宋体" w:eastAsia="黑体"/>
          <w:szCs w:val="21"/>
        </w:rPr>
        <w:t>法定代表人：</w:t>
      </w:r>
      <w:r>
        <w:rPr>
          <w:rFonts w:hint="eastAsia" w:ascii="宋体" w:hAnsi="宋体"/>
          <w:szCs w:val="21"/>
          <w:u w:val="single"/>
        </w:rPr>
        <w:t xml:space="preserve">                            </w:t>
      </w:r>
      <w:r>
        <w:rPr>
          <w:rFonts w:hint="eastAsia" w:ascii="宋体" w:hAnsi="宋体"/>
          <w:szCs w:val="21"/>
        </w:rPr>
        <w:t>（签字）</w:t>
      </w:r>
    </w:p>
    <w:p>
      <w:pPr>
        <w:spacing w:line="400" w:lineRule="exact"/>
        <w:ind w:firstLine="3570" w:firstLineChars="1700"/>
        <w:rPr>
          <w:rFonts w:ascii="宋体" w:hAnsi="宋体"/>
          <w:szCs w:val="21"/>
        </w:rPr>
      </w:pPr>
    </w:p>
    <w:p>
      <w:pPr>
        <w:spacing w:line="400" w:lineRule="exact"/>
        <w:ind w:firstLine="3570" w:firstLineChars="1700"/>
        <w:rPr>
          <w:rFonts w:ascii="黑体" w:hAnsi="宋体" w:eastAsia="黑体"/>
          <w:szCs w:val="21"/>
          <w:u w:val="single"/>
        </w:rPr>
      </w:pPr>
      <w:r>
        <w:rPr>
          <w:rFonts w:hint="eastAsia" w:ascii="黑体" w:hAnsi="宋体" w:eastAsia="黑体"/>
          <w:szCs w:val="21"/>
        </w:rPr>
        <w:t>身份证号码：</w:t>
      </w:r>
      <w:r>
        <w:rPr>
          <w:rFonts w:hint="eastAsia" w:ascii="黑体" w:hAnsi="宋体" w:eastAsia="黑体"/>
          <w:szCs w:val="21"/>
          <w:u w:val="single"/>
        </w:rPr>
        <w:t xml:space="preserve">                                   </w:t>
      </w:r>
    </w:p>
    <w:p>
      <w:pPr>
        <w:spacing w:line="400" w:lineRule="exact"/>
        <w:ind w:firstLine="3570" w:firstLineChars="1700"/>
        <w:rPr>
          <w:rFonts w:ascii="黑体" w:hAnsi="宋体" w:eastAsia="黑体"/>
          <w:szCs w:val="21"/>
          <w:u w:val="single"/>
        </w:rPr>
      </w:pPr>
    </w:p>
    <w:p>
      <w:pPr>
        <w:spacing w:line="400" w:lineRule="exact"/>
        <w:ind w:firstLine="3570" w:firstLineChars="1700"/>
        <w:rPr>
          <w:rFonts w:ascii="宋体" w:hAnsi="宋体"/>
          <w:szCs w:val="21"/>
        </w:rPr>
      </w:pPr>
      <w:r>
        <w:rPr>
          <w:rFonts w:hint="eastAsia" w:ascii="黑体" w:hAnsi="宋体" w:eastAsia="黑体"/>
          <w:szCs w:val="21"/>
        </w:rPr>
        <w:t>委托代理人：</w:t>
      </w:r>
      <w:r>
        <w:rPr>
          <w:rFonts w:hint="eastAsia" w:ascii="宋体" w:hAnsi="宋体"/>
          <w:szCs w:val="21"/>
          <w:u w:val="single"/>
        </w:rPr>
        <w:t xml:space="preserve">                            </w:t>
      </w:r>
      <w:r>
        <w:rPr>
          <w:rFonts w:hint="eastAsia" w:ascii="宋体" w:hAnsi="宋体"/>
          <w:szCs w:val="21"/>
        </w:rPr>
        <w:t>（签字）</w:t>
      </w:r>
    </w:p>
    <w:p>
      <w:pPr>
        <w:spacing w:line="400" w:lineRule="exact"/>
        <w:ind w:firstLine="3570" w:firstLineChars="1700"/>
        <w:rPr>
          <w:rFonts w:ascii="宋体" w:hAnsi="宋体"/>
          <w:szCs w:val="21"/>
        </w:rPr>
      </w:pPr>
    </w:p>
    <w:p>
      <w:pPr>
        <w:spacing w:line="400" w:lineRule="exact"/>
        <w:ind w:firstLine="3570" w:firstLineChars="1700"/>
        <w:rPr>
          <w:rFonts w:ascii="黑体" w:hAnsi="宋体" w:eastAsia="黑体"/>
          <w:szCs w:val="21"/>
          <w:u w:val="single"/>
        </w:rPr>
      </w:pPr>
      <w:r>
        <w:rPr>
          <w:rFonts w:hint="eastAsia" w:ascii="黑体" w:hAnsi="宋体" w:eastAsia="黑体"/>
          <w:szCs w:val="21"/>
        </w:rPr>
        <w:t>身份证号码：</w:t>
      </w:r>
      <w:r>
        <w:rPr>
          <w:rFonts w:hint="eastAsia" w:ascii="黑体" w:hAnsi="宋体" w:eastAsia="黑体"/>
          <w:szCs w:val="21"/>
          <w:u w:val="single"/>
        </w:rPr>
        <w:t xml:space="preserve">                                   </w:t>
      </w:r>
    </w:p>
    <w:p>
      <w:pPr>
        <w:spacing w:line="400" w:lineRule="exact"/>
        <w:ind w:firstLine="3570" w:firstLineChars="1700"/>
        <w:rPr>
          <w:rFonts w:ascii="黑体" w:hAnsi="宋体" w:eastAsia="黑体"/>
          <w:szCs w:val="21"/>
        </w:rPr>
      </w:pPr>
    </w:p>
    <w:p>
      <w:pPr>
        <w:spacing w:line="400" w:lineRule="exact"/>
        <w:ind w:firstLine="4830" w:firstLineChars="2300"/>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before="240" w:beforeLines="100" w:after="120" w:afterLines="50"/>
        <w:jc w:val="center"/>
        <w:outlineLvl w:val="0"/>
        <w:rPr>
          <w:rFonts w:ascii="黑体" w:hAnsi="宋体" w:eastAsia="黑体"/>
          <w:sz w:val="28"/>
          <w:szCs w:val="28"/>
        </w:rPr>
      </w:pPr>
      <w:r>
        <w:rPr>
          <w:rFonts w:ascii="宋体" w:hAnsi="宋体"/>
          <w:szCs w:val="21"/>
        </w:rPr>
        <w:br w:type="page"/>
      </w:r>
      <w:bookmarkStart w:id="83" w:name="_Toc41309524"/>
      <w:bookmarkStart w:id="84" w:name="_Toc7787"/>
      <w:bookmarkStart w:id="85" w:name="_Toc9200"/>
      <w:bookmarkStart w:id="86" w:name="_Toc455588673"/>
      <w:r>
        <w:rPr>
          <w:rFonts w:hint="eastAsia" w:ascii="黑体" w:hAnsi="宋体" w:eastAsia="黑体"/>
          <w:sz w:val="28"/>
          <w:szCs w:val="28"/>
        </w:rPr>
        <w:t>四、投标保证金</w:t>
      </w:r>
      <w:bookmarkEnd w:id="83"/>
      <w:bookmarkEnd w:id="84"/>
      <w:bookmarkEnd w:id="85"/>
      <w:bookmarkEnd w:id="86"/>
    </w:p>
    <w:p>
      <w:pPr>
        <w:spacing w:before="240" w:beforeLines="100" w:after="120" w:afterLines="50"/>
        <w:jc w:val="center"/>
        <w:outlineLvl w:val="0"/>
        <w:rPr>
          <w:rFonts w:ascii="黑体" w:hAnsi="宋体" w:eastAsia="黑体"/>
          <w:sz w:val="28"/>
          <w:szCs w:val="28"/>
        </w:rPr>
      </w:pPr>
    </w:p>
    <w:p>
      <w:pPr>
        <w:jc w:val="center"/>
        <w:rPr>
          <w:sz w:val="28"/>
          <w:szCs w:val="28"/>
        </w:rPr>
      </w:pPr>
      <w:bookmarkStart w:id="87" w:name="_Toc455588674"/>
      <w:r>
        <w:rPr>
          <w:rFonts w:hint="eastAsia"/>
          <w:sz w:val="28"/>
          <w:szCs w:val="28"/>
        </w:rPr>
        <w:t>附基本帐户开户许可证、银行转账单复印件</w:t>
      </w:r>
      <w:bookmarkEnd w:id="87"/>
    </w:p>
    <w:p>
      <w:pPr>
        <w:spacing w:before="240" w:beforeLines="100" w:after="120" w:afterLines="50"/>
        <w:jc w:val="center"/>
        <w:outlineLvl w:val="0"/>
        <w:rPr>
          <w:rFonts w:ascii="黑体" w:hAnsi="宋体" w:eastAsia="黑体"/>
          <w:sz w:val="28"/>
          <w:szCs w:val="28"/>
        </w:rPr>
      </w:pPr>
    </w:p>
    <w:p>
      <w:pPr>
        <w:spacing w:before="240" w:beforeLines="100" w:after="120" w:afterLines="50"/>
        <w:jc w:val="center"/>
        <w:outlineLvl w:val="0"/>
        <w:rPr>
          <w:rFonts w:ascii="黑体" w:hAnsi="宋体" w:eastAsia="黑体"/>
          <w:sz w:val="28"/>
          <w:szCs w:val="28"/>
        </w:rPr>
      </w:pPr>
    </w:p>
    <w:p>
      <w:pPr>
        <w:spacing w:before="240" w:beforeLines="100" w:after="120" w:afterLines="50"/>
        <w:jc w:val="center"/>
        <w:outlineLvl w:val="0"/>
        <w:rPr>
          <w:rFonts w:ascii="黑体" w:hAnsi="宋体" w:eastAsia="黑体"/>
          <w:sz w:val="28"/>
          <w:szCs w:val="28"/>
        </w:rPr>
      </w:pPr>
    </w:p>
    <w:p>
      <w:pPr>
        <w:spacing w:before="240" w:beforeLines="100" w:after="120" w:afterLines="50"/>
        <w:jc w:val="center"/>
        <w:outlineLvl w:val="0"/>
        <w:rPr>
          <w:rFonts w:ascii="黑体" w:hAnsi="宋体" w:eastAsia="黑体"/>
          <w:sz w:val="28"/>
          <w:szCs w:val="28"/>
        </w:rPr>
      </w:pPr>
    </w:p>
    <w:p>
      <w:pPr>
        <w:spacing w:before="240" w:beforeLines="100" w:after="120" w:afterLines="50"/>
        <w:jc w:val="center"/>
        <w:outlineLvl w:val="0"/>
        <w:rPr>
          <w:rFonts w:ascii="黑体" w:hAnsi="宋体" w:eastAsia="黑体"/>
          <w:sz w:val="28"/>
          <w:szCs w:val="28"/>
        </w:rPr>
      </w:pPr>
    </w:p>
    <w:p>
      <w:pPr>
        <w:spacing w:before="240" w:beforeLines="100" w:after="120" w:afterLines="50"/>
        <w:jc w:val="center"/>
        <w:outlineLvl w:val="0"/>
        <w:rPr>
          <w:rFonts w:ascii="黑体" w:hAnsi="宋体" w:eastAsia="黑体"/>
          <w:sz w:val="28"/>
          <w:szCs w:val="28"/>
        </w:rPr>
      </w:pPr>
    </w:p>
    <w:p>
      <w:pPr>
        <w:spacing w:before="240" w:beforeLines="100" w:after="120" w:afterLines="50"/>
        <w:jc w:val="center"/>
        <w:outlineLvl w:val="0"/>
        <w:rPr>
          <w:rFonts w:ascii="黑体" w:hAnsi="宋体" w:eastAsia="黑体"/>
          <w:sz w:val="28"/>
          <w:szCs w:val="28"/>
        </w:rPr>
      </w:pPr>
    </w:p>
    <w:p>
      <w:pPr>
        <w:spacing w:before="240" w:beforeLines="100" w:after="120" w:afterLines="50"/>
        <w:jc w:val="center"/>
        <w:outlineLvl w:val="0"/>
        <w:rPr>
          <w:rFonts w:ascii="黑体" w:hAnsi="宋体" w:eastAsia="黑体"/>
          <w:sz w:val="28"/>
          <w:szCs w:val="28"/>
        </w:rPr>
      </w:pPr>
    </w:p>
    <w:p>
      <w:pPr>
        <w:spacing w:before="240" w:beforeLines="100" w:after="120" w:afterLines="50"/>
        <w:jc w:val="center"/>
        <w:outlineLvl w:val="0"/>
        <w:rPr>
          <w:rFonts w:ascii="黑体" w:hAnsi="宋体" w:eastAsia="黑体"/>
          <w:sz w:val="28"/>
          <w:szCs w:val="28"/>
        </w:rPr>
      </w:pPr>
    </w:p>
    <w:p>
      <w:pPr>
        <w:spacing w:before="240" w:beforeLines="100" w:after="120" w:afterLines="50"/>
        <w:jc w:val="center"/>
        <w:outlineLvl w:val="0"/>
        <w:rPr>
          <w:rFonts w:ascii="黑体" w:hAnsi="宋体" w:eastAsia="黑体"/>
          <w:sz w:val="28"/>
          <w:szCs w:val="28"/>
        </w:rPr>
      </w:pPr>
    </w:p>
    <w:p>
      <w:pPr>
        <w:spacing w:before="240" w:beforeLines="100" w:after="120" w:afterLines="50"/>
        <w:jc w:val="center"/>
        <w:outlineLvl w:val="0"/>
        <w:rPr>
          <w:rFonts w:ascii="黑体" w:hAnsi="宋体" w:eastAsia="黑体"/>
          <w:sz w:val="28"/>
          <w:szCs w:val="28"/>
        </w:rPr>
      </w:pPr>
    </w:p>
    <w:p>
      <w:pPr>
        <w:spacing w:before="240" w:beforeLines="100" w:after="120" w:afterLines="50"/>
        <w:jc w:val="center"/>
        <w:outlineLvl w:val="0"/>
        <w:rPr>
          <w:rFonts w:ascii="黑体" w:hAnsi="宋体" w:eastAsia="黑体"/>
          <w:sz w:val="28"/>
          <w:szCs w:val="28"/>
        </w:rPr>
      </w:pPr>
    </w:p>
    <w:p>
      <w:pPr>
        <w:spacing w:before="240" w:beforeLines="100" w:after="120" w:afterLines="50"/>
        <w:jc w:val="center"/>
        <w:outlineLvl w:val="0"/>
        <w:rPr>
          <w:rFonts w:ascii="黑体" w:hAnsi="宋体" w:eastAsia="黑体"/>
          <w:sz w:val="28"/>
          <w:szCs w:val="28"/>
        </w:rPr>
      </w:pPr>
    </w:p>
    <w:p>
      <w:pPr>
        <w:spacing w:before="240" w:beforeLines="100" w:after="120" w:afterLines="50"/>
        <w:jc w:val="center"/>
        <w:outlineLvl w:val="0"/>
        <w:rPr>
          <w:rFonts w:ascii="黑体" w:hAnsi="宋体" w:eastAsia="黑体"/>
          <w:sz w:val="28"/>
          <w:szCs w:val="28"/>
        </w:rPr>
      </w:pPr>
    </w:p>
    <w:p>
      <w:pPr>
        <w:spacing w:before="240" w:beforeLines="100" w:after="120" w:afterLines="50"/>
        <w:jc w:val="center"/>
        <w:outlineLvl w:val="0"/>
        <w:rPr>
          <w:rFonts w:ascii="黑体" w:hAnsi="宋体" w:eastAsia="黑体"/>
          <w:sz w:val="28"/>
          <w:szCs w:val="28"/>
        </w:rPr>
      </w:pPr>
    </w:p>
    <w:p>
      <w:pPr>
        <w:spacing w:before="240" w:beforeLines="100" w:after="120" w:afterLines="50"/>
        <w:jc w:val="center"/>
        <w:outlineLvl w:val="0"/>
        <w:rPr>
          <w:rFonts w:ascii="黑体" w:hAnsi="宋体" w:eastAsia="黑体"/>
          <w:sz w:val="28"/>
          <w:szCs w:val="28"/>
        </w:rPr>
      </w:pPr>
    </w:p>
    <w:p>
      <w:pPr>
        <w:spacing w:before="240" w:beforeLines="100" w:after="120" w:afterLines="50"/>
        <w:jc w:val="center"/>
        <w:outlineLvl w:val="0"/>
        <w:rPr>
          <w:rFonts w:ascii="黑体" w:hAnsi="宋体" w:eastAsia="黑体"/>
          <w:sz w:val="28"/>
          <w:szCs w:val="28"/>
        </w:rPr>
      </w:pPr>
    </w:p>
    <w:p>
      <w:pPr>
        <w:spacing w:before="240" w:beforeLines="100" w:after="120" w:afterLines="50"/>
        <w:jc w:val="center"/>
        <w:outlineLvl w:val="0"/>
        <w:rPr>
          <w:rFonts w:ascii="黑体" w:hAnsi="宋体" w:eastAsia="黑体"/>
          <w:sz w:val="28"/>
          <w:szCs w:val="28"/>
        </w:rPr>
      </w:pPr>
    </w:p>
    <w:p>
      <w:pPr>
        <w:spacing w:before="240" w:beforeLines="100" w:after="120" w:afterLines="50"/>
        <w:jc w:val="center"/>
        <w:outlineLvl w:val="0"/>
        <w:rPr>
          <w:rFonts w:ascii="黑体" w:hAnsi="宋体" w:eastAsia="黑体"/>
          <w:sz w:val="28"/>
          <w:szCs w:val="28"/>
        </w:rPr>
      </w:pPr>
    </w:p>
    <w:p>
      <w:pPr>
        <w:spacing w:before="120" w:beforeLines="50" w:after="120" w:afterLines="50" w:line="420" w:lineRule="exact"/>
        <w:jc w:val="center"/>
        <w:outlineLvl w:val="0"/>
        <w:rPr>
          <w:rFonts w:ascii="黑体" w:hAnsi="宋体" w:eastAsia="黑体"/>
          <w:sz w:val="28"/>
          <w:szCs w:val="28"/>
        </w:rPr>
      </w:pPr>
    </w:p>
    <w:p>
      <w:pPr>
        <w:spacing w:before="240" w:beforeLines="100" w:after="120" w:afterLines="50"/>
        <w:jc w:val="center"/>
        <w:outlineLvl w:val="0"/>
        <w:rPr>
          <w:rFonts w:ascii="黑体" w:hAnsi="宋体" w:eastAsia="黑体"/>
          <w:sz w:val="28"/>
          <w:szCs w:val="28"/>
        </w:rPr>
      </w:pPr>
      <w:bookmarkStart w:id="88" w:name="_Toc455588675"/>
      <w:bookmarkStart w:id="89" w:name="_Toc15490"/>
      <w:bookmarkStart w:id="90" w:name="_Toc22112"/>
      <w:bookmarkStart w:id="91" w:name="_Toc41309525"/>
      <w:r>
        <w:rPr>
          <w:rFonts w:hint="eastAsia" w:ascii="黑体" w:hAnsi="宋体" w:eastAsia="黑体"/>
          <w:sz w:val="28"/>
          <w:szCs w:val="28"/>
        </w:rPr>
        <w:t>五、代建方案</w:t>
      </w:r>
      <w:bookmarkEnd w:id="88"/>
      <w:bookmarkEnd w:id="89"/>
      <w:bookmarkEnd w:id="90"/>
      <w:bookmarkEnd w:id="91"/>
    </w:p>
    <w:p>
      <w:pPr>
        <w:spacing w:before="120" w:beforeLines="50" w:after="120" w:afterLines="50" w:line="420" w:lineRule="exact"/>
        <w:jc w:val="center"/>
        <w:outlineLvl w:val="0"/>
        <w:rPr>
          <w:rFonts w:ascii="黑体" w:hAnsi="宋体" w:eastAsia="黑体"/>
          <w:sz w:val="28"/>
          <w:szCs w:val="28"/>
        </w:rPr>
      </w:pPr>
    </w:p>
    <w:p>
      <w:pPr>
        <w:spacing w:before="120" w:beforeLines="50" w:after="120" w:afterLines="50" w:line="420" w:lineRule="exact"/>
        <w:jc w:val="center"/>
        <w:outlineLvl w:val="0"/>
        <w:rPr>
          <w:rFonts w:ascii="黑体" w:hAnsi="宋体" w:eastAsia="黑体"/>
          <w:sz w:val="28"/>
          <w:szCs w:val="28"/>
        </w:rPr>
      </w:pPr>
      <w:r>
        <w:rPr>
          <w:rFonts w:hint="eastAsia" w:ascii="黑体" w:hAnsi="宋体" w:eastAsia="黑体"/>
          <w:sz w:val="28"/>
          <w:szCs w:val="28"/>
        </w:rPr>
        <w:t>（格式自拟）</w:t>
      </w:r>
    </w:p>
    <w:p>
      <w:pPr>
        <w:spacing w:before="120" w:beforeLines="50" w:after="120" w:afterLines="50" w:line="420" w:lineRule="exact"/>
        <w:jc w:val="center"/>
        <w:outlineLvl w:val="0"/>
        <w:rPr>
          <w:rFonts w:ascii="黑体" w:hAnsi="宋体" w:eastAsia="黑体"/>
          <w:sz w:val="28"/>
          <w:szCs w:val="28"/>
        </w:rPr>
      </w:pPr>
    </w:p>
    <w:p>
      <w:pPr>
        <w:spacing w:before="120" w:beforeLines="50" w:after="120" w:afterLines="50" w:line="420" w:lineRule="exact"/>
        <w:jc w:val="center"/>
        <w:outlineLvl w:val="0"/>
        <w:rPr>
          <w:rFonts w:ascii="黑体" w:hAnsi="宋体" w:eastAsia="黑体"/>
          <w:sz w:val="28"/>
          <w:szCs w:val="28"/>
        </w:rPr>
      </w:pPr>
    </w:p>
    <w:p>
      <w:pPr>
        <w:spacing w:before="120" w:beforeLines="50" w:after="120" w:afterLines="50" w:line="420" w:lineRule="exact"/>
        <w:jc w:val="center"/>
        <w:outlineLvl w:val="0"/>
        <w:rPr>
          <w:rFonts w:ascii="黑体" w:hAnsi="宋体" w:eastAsia="黑体"/>
          <w:sz w:val="28"/>
          <w:szCs w:val="28"/>
        </w:rPr>
      </w:pPr>
    </w:p>
    <w:p>
      <w:pPr>
        <w:spacing w:before="120" w:beforeLines="50" w:after="120" w:afterLines="50" w:line="420" w:lineRule="exact"/>
        <w:jc w:val="center"/>
        <w:outlineLvl w:val="0"/>
        <w:rPr>
          <w:rFonts w:ascii="黑体" w:hAnsi="宋体" w:eastAsia="黑体"/>
          <w:sz w:val="28"/>
          <w:szCs w:val="28"/>
        </w:rPr>
      </w:pPr>
    </w:p>
    <w:p>
      <w:pPr>
        <w:spacing w:before="120" w:beforeLines="50" w:after="120" w:afterLines="50" w:line="420" w:lineRule="exact"/>
        <w:jc w:val="center"/>
        <w:outlineLvl w:val="0"/>
        <w:rPr>
          <w:rFonts w:ascii="黑体" w:hAnsi="宋体" w:eastAsia="黑体"/>
          <w:sz w:val="28"/>
          <w:szCs w:val="28"/>
        </w:rPr>
      </w:pPr>
    </w:p>
    <w:p>
      <w:pPr>
        <w:spacing w:before="120" w:beforeLines="50" w:after="120" w:afterLines="50" w:line="420" w:lineRule="exact"/>
        <w:jc w:val="center"/>
        <w:outlineLvl w:val="0"/>
        <w:rPr>
          <w:rFonts w:ascii="黑体" w:hAnsi="宋体" w:eastAsia="黑体"/>
          <w:sz w:val="28"/>
          <w:szCs w:val="28"/>
        </w:rPr>
      </w:pPr>
    </w:p>
    <w:p>
      <w:pPr>
        <w:spacing w:before="120" w:beforeLines="50" w:after="120" w:afterLines="50" w:line="420" w:lineRule="exact"/>
        <w:jc w:val="center"/>
        <w:outlineLvl w:val="0"/>
        <w:rPr>
          <w:rFonts w:ascii="黑体" w:hAnsi="宋体" w:eastAsia="黑体"/>
          <w:sz w:val="28"/>
          <w:szCs w:val="28"/>
        </w:rPr>
      </w:pPr>
    </w:p>
    <w:p>
      <w:pPr>
        <w:spacing w:before="120" w:beforeLines="50" w:after="120" w:afterLines="50" w:line="420" w:lineRule="exact"/>
        <w:jc w:val="center"/>
        <w:outlineLvl w:val="0"/>
        <w:rPr>
          <w:rFonts w:ascii="黑体" w:hAnsi="宋体" w:eastAsia="黑体"/>
          <w:sz w:val="28"/>
          <w:szCs w:val="28"/>
        </w:rPr>
      </w:pPr>
    </w:p>
    <w:p>
      <w:pPr>
        <w:spacing w:before="120" w:beforeLines="50" w:after="120" w:afterLines="50" w:line="420" w:lineRule="exact"/>
        <w:jc w:val="center"/>
        <w:outlineLvl w:val="0"/>
        <w:rPr>
          <w:rFonts w:ascii="黑体" w:hAnsi="宋体" w:eastAsia="黑体"/>
          <w:sz w:val="28"/>
          <w:szCs w:val="28"/>
        </w:rPr>
      </w:pPr>
    </w:p>
    <w:p>
      <w:pPr>
        <w:spacing w:before="120" w:beforeLines="50" w:after="120" w:afterLines="50" w:line="420" w:lineRule="exact"/>
        <w:jc w:val="center"/>
        <w:outlineLvl w:val="0"/>
        <w:rPr>
          <w:rFonts w:ascii="黑体" w:hAnsi="宋体" w:eastAsia="黑体"/>
          <w:sz w:val="28"/>
          <w:szCs w:val="28"/>
        </w:rPr>
      </w:pPr>
    </w:p>
    <w:p>
      <w:pPr>
        <w:spacing w:before="120" w:beforeLines="50" w:after="120" w:afterLines="50" w:line="420" w:lineRule="exact"/>
        <w:jc w:val="center"/>
        <w:outlineLvl w:val="0"/>
        <w:rPr>
          <w:rFonts w:ascii="黑体" w:hAnsi="宋体" w:eastAsia="黑体"/>
          <w:sz w:val="28"/>
          <w:szCs w:val="28"/>
        </w:rPr>
      </w:pPr>
    </w:p>
    <w:p>
      <w:pPr>
        <w:spacing w:before="120" w:beforeLines="50" w:after="120" w:afterLines="50" w:line="420" w:lineRule="exact"/>
        <w:jc w:val="center"/>
        <w:outlineLvl w:val="0"/>
        <w:rPr>
          <w:rFonts w:ascii="黑体" w:hAnsi="宋体" w:eastAsia="黑体"/>
          <w:sz w:val="28"/>
          <w:szCs w:val="28"/>
        </w:rPr>
      </w:pPr>
    </w:p>
    <w:p>
      <w:pPr>
        <w:spacing w:before="120" w:beforeLines="50" w:after="120" w:afterLines="50" w:line="420" w:lineRule="exact"/>
        <w:jc w:val="center"/>
        <w:outlineLvl w:val="0"/>
        <w:rPr>
          <w:rFonts w:ascii="黑体" w:hAnsi="宋体" w:eastAsia="黑体"/>
          <w:sz w:val="28"/>
          <w:szCs w:val="28"/>
        </w:rPr>
      </w:pPr>
    </w:p>
    <w:p>
      <w:pPr>
        <w:spacing w:before="120" w:beforeLines="50" w:after="120" w:afterLines="50" w:line="420" w:lineRule="exact"/>
        <w:jc w:val="center"/>
        <w:outlineLvl w:val="0"/>
        <w:rPr>
          <w:rFonts w:ascii="黑体" w:hAnsi="宋体" w:eastAsia="黑体"/>
          <w:sz w:val="28"/>
          <w:szCs w:val="28"/>
        </w:rPr>
      </w:pPr>
    </w:p>
    <w:p>
      <w:pPr>
        <w:spacing w:before="120" w:beforeLines="50" w:after="120" w:afterLines="50" w:line="420" w:lineRule="exact"/>
        <w:jc w:val="center"/>
        <w:outlineLvl w:val="0"/>
        <w:rPr>
          <w:rFonts w:ascii="黑体" w:hAnsi="宋体" w:eastAsia="黑体"/>
          <w:sz w:val="28"/>
          <w:szCs w:val="28"/>
        </w:rPr>
      </w:pPr>
    </w:p>
    <w:p>
      <w:pPr>
        <w:spacing w:before="120" w:beforeLines="50" w:after="120" w:afterLines="50" w:line="420" w:lineRule="exact"/>
        <w:jc w:val="center"/>
        <w:outlineLvl w:val="0"/>
        <w:rPr>
          <w:rFonts w:ascii="黑体" w:hAnsi="宋体" w:eastAsia="黑体"/>
          <w:sz w:val="28"/>
          <w:szCs w:val="28"/>
        </w:rPr>
      </w:pPr>
    </w:p>
    <w:p>
      <w:pPr>
        <w:spacing w:before="120" w:beforeLines="50" w:after="120" w:afterLines="50" w:line="420" w:lineRule="exact"/>
        <w:jc w:val="center"/>
        <w:outlineLvl w:val="0"/>
        <w:rPr>
          <w:rFonts w:ascii="黑体" w:hAnsi="宋体" w:eastAsia="黑体"/>
          <w:sz w:val="28"/>
          <w:szCs w:val="28"/>
        </w:rPr>
      </w:pPr>
    </w:p>
    <w:p>
      <w:pPr>
        <w:spacing w:before="120" w:beforeLines="50" w:after="120" w:afterLines="50" w:line="420" w:lineRule="exact"/>
        <w:jc w:val="center"/>
        <w:outlineLvl w:val="0"/>
        <w:rPr>
          <w:rFonts w:ascii="黑体" w:hAnsi="宋体" w:eastAsia="黑体"/>
          <w:sz w:val="28"/>
          <w:szCs w:val="28"/>
        </w:rPr>
      </w:pPr>
    </w:p>
    <w:p>
      <w:pPr>
        <w:spacing w:before="120" w:beforeLines="50" w:after="120" w:afterLines="50" w:line="420" w:lineRule="exact"/>
        <w:jc w:val="center"/>
        <w:outlineLvl w:val="0"/>
        <w:rPr>
          <w:rFonts w:ascii="黑体" w:hAnsi="宋体" w:eastAsia="黑体"/>
          <w:sz w:val="28"/>
          <w:szCs w:val="28"/>
        </w:rPr>
      </w:pPr>
    </w:p>
    <w:p>
      <w:pPr>
        <w:spacing w:before="120" w:beforeLines="50" w:after="120" w:afterLines="50" w:line="420" w:lineRule="exact"/>
        <w:jc w:val="center"/>
        <w:outlineLvl w:val="0"/>
        <w:rPr>
          <w:rFonts w:ascii="黑体" w:hAnsi="宋体" w:eastAsia="黑体"/>
          <w:sz w:val="28"/>
          <w:szCs w:val="28"/>
        </w:rPr>
      </w:pPr>
    </w:p>
    <w:p>
      <w:pPr>
        <w:spacing w:before="120" w:beforeLines="50" w:after="120" w:afterLines="50" w:line="420" w:lineRule="exact"/>
        <w:jc w:val="center"/>
        <w:outlineLvl w:val="0"/>
        <w:rPr>
          <w:rFonts w:ascii="黑体" w:hAnsi="宋体" w:eastAsia="黑体"/>
          <w:sz w:val="28"/>
          <w:szCs w:val="28"/>
        </w:rPr>
      </w:pPr>
    </w:p>
    <w:p>
      <w:pPr>
        <w:spacing w:before="120" w:beforeLines="50" w:after="120" w:afterLines="50" w:line="420" w:lineRule="exact"/>
        <w:outlineLvl w:val="0"/>
        <w:rPr>
          <w:rFonts w:ascii="黑体" w:hAnsi="宋体" w:eastAsia="黑体"/>
          <w:sz w:val="28"/>
          <w:szCs w:val="28"/>
        </w:rPr>
      </w:pPr>
    </w:p>
    <w:p>
      <w:pPr>
        <w:spacing w:before="240" w:beforeLines="100" w:after="120" w:afterLines="50"/>
        <w:jc w:val="center"/>
        <w:outlineLvl w:val="0"/>
        <w:rPr>
          <w:rFonts w:ascii="黑体" w:hAnsi="宋体" w:eastAsia="黑体"/>
          <w:sz w:val="28"/>
          <w:szCs w:val="28"/>
        </w:rPr>
      </w:pPr>
      <w:bookmarkStart w:id="92" w:name="_Toc41309526"/>
      <w:bookmarkStart w:id="93" w:name="_Toc8417"/>
      <w:bookmarkStart w:id="94" w:name="_Toc9021"/>
      <w:bookmarkStart w:id="95" w:name="_Toc455588676"/>
      <w:r>
        <w:rPr>
          <w:rFonts w:hint="eastAsia" w:ascii="黑体" w:hAnsi="宋体" w:eastAsia="黑体"/>
          <w:sz w:val="28"/>
          <w:szCs w:val="28"/>
        </w:rPr>
        <w:t>六、项目管理机构</w:t>
      </w:r>
      <w:bookmarkEnd w:id="92"/>
      <w:bookmarkEnd w:id="93"/>
      <w:bookmarkEnd w:id="94"/>
      <w:bookmarkEnd w:id="95"/>
    </w:p>
    <w:p>
      <w:pPr>
        <w:spacing w:after="240" w:afterLines="100" w:line="420" w:lineRule="exact"/>
        <w:outlineLvl w:val="0"/>
        <w:rPr>
          <w:rFonts w:ascii="黑体" w:hAnsi="宋体" w:eastAsia="黑体"/>
          <w:sz w:val="24"/>
        </w:rPr>
      </w:pPr>
      <w:bookmarkStart w:id="96" w:name="_Toc455588677"/>
      <w:bookmarkStart w:id="97" w:name="_Toc41309527"/>
      <w:r>
        <w:rPr>
          <w:rFonts w:hint="eastAsia" w:ascii="黑体" w:hAnsi="宋体" w:eastAsia="黑体"/>
          <w:sz w:val="24"/>
        </w:rPr>
        <w:t>（一）项目管理机构组成表</w:t>
      </w:r>
      <w:bookmarkEnd w:id="96"/>
      <w:bookmarkEnd w:id="97"/>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851"/>
        <w:gridCol w:w="850"/>
        <w:gridCol w:w="1134"/>
        <w:gridCol w:w="1134"/>
        <w:gridCol w:w="1276"/>
        <w:gridCol w:w="1418"/>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4" w:type="dxa"/>
            <w:vMerge w:val="restart"/>
            <w:vAlign w:val="center"/>
          </w:tcPr>
          <w:p>
            <w:pPr>
              <w:jc w:val="center"/>
              <w:rPr>
                <w:rFonts w:ascii="宋体" w:hAnsi="宋体"/>
                <w:szCs w:val="21"/>
              </w:rPr>
            </w:pPr>
            <w:r>
              <w:rPr>
                <w:rFonts w:hint="eastAsia" w:ascii="宋体" w:hAnsi="宋体"/>
                <w:szCs w:val="21"/>
              </w:rPr>
              <w:t>职务</w:t>
            </w:r>
          </w:p>
        </w:tc>
        <w:tc>
          <w:tcPr>
            <w:tcW w:w="851" w:type="dxa"/>
            <w:vMerge w:val="restart"/>
            <w:vAlign w:val="center"/>
          </w:tcPr>
          <w:p>
            <w:pPr>
              <w:jc w:val="center"/>
              <w:rPr>
                <w:rFonts w:ascii="宋体" w:hAnsi="宋体"/>
                <w:szCs w:val="21"/>
              </w:rPr>
            </w:pPr>
            <w:r>
              <w:rPr>
                <w:rFonts w:hint="eastAsia" w:ascii="宋体" w:hAnsi="宋体"/>
                <w:szCs w:val="21"/>
              </w:rPr>
              <w:t>姓名</w:t>
            </w:r>
          </w:p>
        </w:tc>
        <w:tc>
          <w:tcPr>
            <w:tcW w:w="850" w:type="dxa"/>
            <w:vMerge w:val="restart"/>
            <w:vAlign w:val="center"/>
          </w:tcPr>
          <w:p>
            <w:pPr>
              <w:jc w:val="center"/>
              <w:rPr>
                <w:rFonts w:ascii="宋体" w:hAnsi="宋体"/>
                <w:szCs w:val="21"/>
              </w:rPr>
            </w:pPr>
            <w:r>
              <w:rPr>
                <w:rFonts w:hint="eastAsia" w:ascii="宋体" w:hAnsi="宋体"/>
                <w:szCs w:val="21"/>
              </w:rPr>
              <w:t>职称</w:t>
            </w:r>
          </w:p>
        </w:tc>
        <w:tc>
          <w:tcPr>
            <w:tcW w:w="4962" w:type="dxa"/>
            <w:gridSpan w:val="4"/>
            <w:vAlign w:val="center"/>
          </w:tcPr>
          <w:p>
            <w:pPr>
              <w:jc w:val="center"/>
              <w:rPr>
                <w:rFonts w:ascii="宋体" w:hAnsi="宋体"/>
                <w:szCs w:val="21"/>
              </w:rPr>
            </w:pPr>
            <w:r>
              <w:rPr>
                <w:rFonts w:hint="eastAsia" w:ascii="宋体" w:hAnsi="宋体"/>
                <w:szCs w:val="21"/>
              </w:rPr>
              <w:t>执业或职业资格证明</w:t>
            </w:r>
          </w:p>
        </w:tc>
        <w:tc>
          <w:tcPr>
            <w:tcW w:w="850" w:type="dxa"/>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4" w:type="dxa"/>
            <w:vMerge w:val="continue"/>
            <w:vAlign w:val="center"/>
          </w:tcPr>
          <w:p>
            <w:pPr>
              <w:jc w:val="center"/>
              <w:rPr>
                <w:rFonts w:ascii="宋体" w:hAnsi="宋体"/>
                <w:szCs w:val="21"/>
              </w:rPr>
            </w:pPr>
          </w:p>
        </w:tc>
        <w:tc>
          <w:tcPr>
            <w:tcW w:w="851" w:type="dxa"/>
            <w:vMerge w:val="continue"/>
            <w:vAlign w:val="center"/>
          </w:tcPr>
          <w:p>
            <w:pPr>
              <w:jc w:val="center"/>
              <w:rPr>
                <w:rFonts w:ascii="宋体" w:hAnsi="宋体"/>
                <w:szCs w:val="21"/>
              </w:rPr>
            </w:pPr>
          </w:p>
        </w:tc>
        <w:tc>
          <w:tcPr>
            <w:tcW w:w="850" w:type="dxa"/>
            <w:vMerge w:val="continue"/>
            <w:vAlign w:val="center"/>
          </w:tcPr>
          <w:p>
            <w:pPr>
              <w:jc w:val="center"/>
              <w:rPr>
                <w:rFonts w:ascii="宋体" w:hAnsi="宋体"/>
                <w:szCs w:val="21"/>
              </w:rPr>
            </w:pPr>
          </w:p>
        </w:tc>
        <w:tc>
          <w:tcPr>
            <w:tcW w:w="1134" w:type="dxa"/>
            <w:vAlign w:val="center"/>
          </w:tcPr>
          <w:p>
            <w:pPr>
              <w:jc w:val="center"/>
              <w:rPr>
                <w:rFonts w:ascii="宋体" w:hAnsi="宋体"/>
                <w:szCs w:val="21"/>
              </w:rPr>
            </w:pPr>
            <w:r>
              <w:rPr>
                <w:rFonts w:hint="eastAsia" w:ascii="宋体" w:hAnsi="宋体"/>
                <w:szCs w:val="21"/>
              </w:rPr>
              <w:t>证书名称</w:t>
            </w:r>
          </w:p>
        </w:tc>
        <w:tc>
          <w:tcPr>
            <w:tcW w:w="1134" w:type="dxa"/>
            <w:vAlign w:val="center"/>
          </w:tcPr>
          <w:p>
            <w:pPr>
              <w:jc w:val="center"/>
              <w:rPr>
                <w:rFonts w:ascii="宋体" w:hAnsi="宋体"/>
                <w:szCs w:val="21"/>
              </w:rPr>
            </w:pPr>
            <w:r>
              <w:rPr>
                <w:rFonts w:hint="eastAsia" w:ascii="宋体" w:hAnsi="宋体"/>
                <w:szCs w:val="21"/>
              </w:rPr>
              <w:t>级别</w:t>
            </w:r>
          </w:p>
        </w:tc>
        <w:tc>
          <w:tcPr>
            <w:tcW w:w="1276" w:type="dxa"/>
            <w:vAlign w:val="center"/>
          </w:tcPr>
          <w:p>
            <w:pPr>
              <w:jc w:val="center"/>
              <w:rPr>
                <w:rFonts w:ascii="宋体" w:hAnsi="宋体"/>
                <w:szCs w:val="21"/>
              </w:rPr>
            </w:pPr>
            <w:r>
              <w:rPr>
                <w:rFonts w:hint="eastAsia" w:ascii="宋体" w:hAnsi="宋体"/>
                <w:szCs w:val="21"/>
              </w:rPr>
              <w:t>证号</w:t>
            </w:r>
          </w:p>
        </w:tc>
        <w:tc>
          <w:tcPr>
            <w:tcW w:w="1418" w:type="dxa"/>
            <w:vAlign w:val="center"/>
          </w:tcPr>
          <w:p>
            <w:pPr>
              <w:jc w:val="center"/>
              <w:rPr>
                <w:rFonts w:ascii="宋体" w:hAnsi="宋体"/>
                <w:szCs w:val="21"/>
              </w:rPr>
            </w:pPr>
            <w:r>
              <w:rPr>
                <w:rFonts w:hint="eastAsia" w:ascii="宋体" w:hAnsi="宋体"/>
                <w:szCs w:val="21"/>
              </w:rPr>
              <w:t>专业</w:t>
            </w: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4"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4"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4"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4"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4"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4"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4"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4"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4"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4"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4"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4"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4"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4"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4"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4"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4"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4"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4"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4"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4"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4" w:type="dxa"/>
            <w:vAlign w:val="center"/>
          </w:tcPr>
          <w:p>
            <w:pPr>
              <w:jc w:val="center"/>
              <w:rPr>
                <w:rFonts w:ascii="宋体" w:hAnsi="宋体"/>
                <w:szCs w:val="21"/>
              </w:rPr>
            </w:pPr>
          </w:p>
        </w:tc>
        <w:tc>
          <w:tcPr>
            <w:tcW w:w="851" w:type="dxa"/>
            <w:vAlign w:val="center"/>
          </w:tcPr>
          <w:p>
            <w:pPr>
              <w:jc w:val="center"/>
              <w:rPr>
                <w:rFonts w:ascii="宋体" w:hAnsi="宋体"/>
                <w:szCs w:val="21"/>
              </w:rPr>
            </w:pPr>
          </w:p>
        </w:tc>
        <w:tc>
          <w:tcPr>
            <w:tcW w:w="850"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134" w:type="dxa"/>
            <w:vAlign w:val="center"/>
          </w:tcPr>
          <w:p>
            <w:pPr>
              <w:jc w:val="center"/>
              <w:rPr>
                <w:rFonts w:ascii="宋体" w:hAnsi="宋体"/>
                <w:szCs w:val="21"/>
              </w:rPr>
            </w:pPr>
          </w:p>
        </w:tc>
        <w:tc>
          <w:tcPr>
            <w:tcW w:w="1276"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850" w:type="dxa"/>
            <w:vAlign w:val="center"/>
          </w:tcPr>
          <w:p>
            <w:pPr>
              <w:jc w:val="center"/>
              <w:rPr>
                <w:rFonts w:ascii="宋体" w:hAnsi="宋体"/>
                <w:szCs w:val="21"/>
              </w:rPr>
            </w:pPr>
          </w:p>
        </w:tc>
      </w:tr>
    </w:tbl>
    <w:p>
      <w:pPr>
        <w:spacing w:line="420" w:lineRule="exact"/>
        <w:rPr>
          <w:rFonts w:ascii="宋体" w:hAnsi="宋体"/>
          <w:szCs w:val="21"/>
        </w:rPr>
      </w:pPr>
    </w:p>
    <w:p>
      <w:pPr>
        <w:spacing w:before="120" w:beforeLines="50" w:after="240" w:afterLines="100" w:line="420" w:lineRule="exact"/>
        <w:outlineLvl w:val="0"/>
        <w:rPr>
          <w:rFonts w:ascii="黑体" w:hAnsi="宋体" w:eastAsia="黑体"/>
          <w:sz w:val="24"/>
        </w:rPr>
      </w:pPr>
      <w:r>
        <w:rPr>
          <w:rFonts w:ascii="宋体" w:hAnsi="宋体"/>
          <w:szCs w:val="21"/>
        </w:rPr>
        <w:br w:type="page"/>
      </w:r>
      <w:bookmarkStart w:id="98" w:name="_Toc455588678"/>
      <w:bookmarkStart w:id="99" w:name="_Toc41309528"/>
      <w:r>
        <w:rPr>
          <w:rFonts w:hint="eastAsia" w:ascii="黑体" w:hAnsi="宋体" w:eastAsia="黑体"/>
          <w:sz w:val="24"/>
        </w:rPr>
        <w:t>（二）主要人员简历表</w:t>
      </w:r>
      <w:bookmarkEnd w:id="98"/>
      <w:bookmarkEnd w:id="99"/>
    </w:p>
    <w:p>
      <w:pPr>
        <w:tabs>
          <w:tab w:val="left" w:pos="0"/>
        </w:tabs>
        <w:spacing w:line="400" w:lineRule="exact"/>
        <w:ind w:right="26" w:firstLine="420" w:firstLineChars="200"/>
        <w:rPr>
          <w:rFonts w:ascii="宋体" w:hAnsi="宋体"/>
          <w:szCs w:val="21"/>
        </w:rPr>
      </w:pP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58"/>
        <w:gridCol w:w="1387"/>
        <w:gridCol w:w="1024"/>
        <w:gridCol w:w="364"/>
        <w:gridCol w:w="1393"/>
        <w:gridCol w:w="1588"/>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1468" w:type="dxa"/>
            <w:gridSpan w:val="2"/>
            <w:vAlign w:val="center"/>
          </w:tcPr>
          <w:p>
            <w:pPr>
              <w:tabs>
                <w:tab w:val="left" w:pos="0"/>
              </w:tabs>
              <w:jc w:val="center"/>
              <w:rPr>
                <w:rFonts w:ascii="宋体" w:hAnsi="宋体"/>
                <w:szCs w:val="21"/>
              </w:rPr>
            </w:pPr>
            <w:r>
              <w:rPr>
                <w:rFonts w:hint="eastAsia" w:ascii="宋体" w:hAnsi="宋体"/>
                <w:szCs w:val="21"/>
              </w:rPr>
              <w:t>姓名</w:t>
            </w:r>
          </w:p>
        </w:tc>
        <w:tc>
          <w:tcPr>
            <w:tcW w:w="1387" w:type="dxa"/>
            <w:vAlign w:val="center"/>
          </w:tcPr>
          <w:p>
            <w:pPr>
              <w:tabs>
                <w:tab w:val="left" w:pos="0"/>
              </w:tabs>
              <w:jc w:val="center"/>
              <w:rPr>
                <w:rFonts w:ascii="宋体" w:hAnsi="宋体"/>
                <w:szCs w:val="21"/>
              </w:rPr>
            </w:pPr>
          </w:p>
        </w:tc>
        <w:tc>
          <w:tcPr>
            <w:tcW w:w="1388" w:type="dxa"/>
            <w:gridSpan w:val="2"/>
            <w:vAlign w:val="center"/>
          </w:tcPr>
          <w:p>
            <w:pPr>
              <w:tabs>
                <w:tab w:val="left" w:pos="0"/>
              </w:tabs>
              <w:jc w:val="center"/>
              <w:rPr>
                <w:rFonts w:ascii="宋体" w:hAnsi="宋体"/>
                <w:szCs w:val="21"/>
              </w:rPr>
            </w:pPr>
            <w:r>
              <w:rPr>
                <w:rFonts w:hint="eastAsia" w:ascii="宋体" w:hAnsi="宋体"/>
                <w:szCs w:val="21"/>
              </w:rPr>
              <w:t>年龄</w:t>
            </w:r>
          </w:p>
        </w:tc>
        <w:tc>
          <w:tcPr>
            <w:tcW w:w="1393" w:type="dxa"/>
            <w:vAlign w:val="center"/>
          </w:tcPr>
          <w:p>
            <w:pPr>
              <w:tabs>
                <w:tab w:val="left" w:pos="0"/>
              </w:tabs>
              <w:jc w:val="center"/>
              <w:rPr>
                <w:rFonts w:ascii="宋体" w:hAnsi="宋体"/>
                <w:szCs w:val="21"/>
              </w:rPr>
            </w:pPr>
          </w:p>
        </w:tc>
        <w:tc>
          <w:tcPr>
            <w:tcW w:w="1588" w:type="dxa"/>
            <w:vAlign w:val="center"/>
          </w:tcPr>
          <w:p>
            <w:pPr>
              <w:tabs>
                <w:tab w:val="left" w:pos="0"/>
              </w:tabs>
              <w:jc w:val="center"/>
              <w:rPr>
                <w:rFonts w:ascii="宋体" w:hAnsi="宋体"/>
                <w:szCs w:val="21"/>
              </w:rPr>
            </w:pPr>
            <w:r>
              <w:rPr>
                <w:rFonts w:hint="eastAsia" w:ascii="宋体" w:hAnsi="宋体"/>
                <w:szCs w:val="21"/>
              </w:rPr>
              <w:t>学历</w:t>
            </w:r>
          </w:p>
        </w:tc>
        <w:tc>
          <w:tcPr>
            <w:tcW w:w="1776" w:type="dxa"/>
            <w:vAlign w:val="center"/>
          </w:tcPr>
          <w:p>
            <w:pPr>
              <w:tabs>
                <w:tab w:val="left" w:pos="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1468" w:type="dxa"/>
            <w:gridSpan w:val="2"/>
            <w:vAlign w:val="center"/>
          </w:tcPr>
          <w:p>
            <w:pPr>
              <w:tabs>
                <w:tab w:val="left" w:pos="0"/>
              </w:tabs>
              <w:jc w:val="center"/>
              <w:rPr>
                <w:rFonts w:ascii="宋体" w:hAnsi="宋体"/>
                <w:szCs w:val="21"/>
              </w:rPr>
            </w:pPr>
            <w:r>
              <w:rPr>
                <w:rFonts w:hint="eastAsia" w:ascii="宋体" w:hAnsi="宋体"/>
                <w:szCs w:val="21"/>
              </w:rPr>
              <w:t>职称</w:t>
            </w:r>
          </w:p>
        </w:tc>
        <w:tc>
          <w:tcPr>
            <w:tcW w:w="1387" w:type="dxa"/>
            <w:vAlign w:val="center"/>
          </w:tcPr>
          <w:p>
            <w:pPr>
              <w:tabs>
                <w:tab w:val="left" w:pos="0"/>
              </w:tabs>
              <w:jc w:val="center"/>
              <w:rPr>
                <w:rFonts w:ascii="宋体" w:hAnsi="宋体"/>
                <w:szCs w:val="21"/>
              </w:rPr>
            </w:pPr>
          </w:p>
        </w:tc>
        <w:tc>
          <w:tcPr>
            <w:tcW w:w="1388" w:type="dxa"/>
            <w:gridSpan w:val="2"/>
            <w:vAlign w:val="center"/>
          </w:tcPr>
          <w:p>
            <w:pPr>
              <w:tabs>
                <w:tab w:val="left" w:pos="0"/>
              </w:tabs>
              <w:jc w:val="center"/>
              <w:rPr>
                <w:rFonts w:ascii="宋体" w:hAnsi="宋体"/>
                <w:szCs w:val="21"/>
              </w:rPr>
            </w:pPr>
            <w:r>
              <w:rPr>
                <w:rFonts w:hint="eastAsia" w:ascii="宋体" w:hAnsi="宋体"/>
                <w:szCs w:val="21"/>
              </w:rPr>
              <w:t>职务</w:t>
            </w:r>
          </w:p>
        </w:tc>
        <w:tc>
          <w:tcPr>
            <w:tcW w:w="1393" w:type="dxa"/>
            <w:vAlign w:val="center"/>
          </w:tcPr>
          <w:p>
            <w:pPr>
              <w:tabs>
                <w:tab w:val="left" w:pos="0"/>
              </w:tabs>
              <w:jc w:val="center"/>
              <w:rPr>
                <w:rFonts w:ascii="宋体" w:hAnsi="宋体"/>
                <w:szCs w:val="21"/>
              </w:rPr>
            </w:pPr>
          </w:p>
        </w:tc>
        <w:tc>
          <w:tcPr>
            <w:tcW w:w="1588" w:type="dxa"/>
            <w:vAlign w:val="center"/>
          </w:tcPr>
          <w:p>
            <w:pPr>
              <w:tabs>
                <w:tab w:val="left" w:pos="-100"/>
              </w:tabs>
              <w:ind w:left="-99" w:right="-107" w:rightChars="-51"/>
              <w:jc w:val="center"/>
              <w:rPr>
                <w:rFonts w:ascii="宋体" w:hAnsi="宋体"/>
                <w:szCs w:val="21"/>
              </w:rPr>
            </w:pPr>
            <w:r>
              <w:rPr>
                <w:rFonts w:hint="eastAsia" w:ascii="宋体" w:hAnsi="宋体"/>
                <w:szCs w:val="21"/>
              </w:rPr>
              <w:t>拟在本合同任职</w:t>
            </w:r>
          </w:p>
        </w:tc>
        <w:tc>
          <w:tcPr>
            <w:tcW w:w="1776" w:type="dxa"/>
            <w:vAlign w:val="center"/>
          </w:tcPr>
          <w:p>
            <w:pPr>
              <w:tabs>
                <w:tab w:val="left" w:pos="0"/>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1468" w:type="dxa"/>
            <w:gridSpan w:val="2"/>
            <w:vAlign w:val="center"/>
          </w:tcPr>
          <w:p>
            <w:pPr>
              <w:tabs>
                <w:tab w:val="left" w:pos="0"/>
              </w:tabs>
              <w:jc w:val="center"/>
              <w:rPr>
                <w:rFonts w:ascii="宋体" w:hAnsi="宋体"/>
                <w:szCs w:val="21"/>
              </w:rPr>
            </w:pPr>
            <w:r>
              <w:rPr>
                <w:rFonts w:hint="eastAsia" w:ascii="宋体" w:hAnsi="宋体"/>
                <w:szCs w:val="21"/>
              </w:rPr>
              <w:t>毕业学校</w:t>
            </w:r>
          </w:p>
        </w:tc>
        <w:tc>
          <w:tcPr>
            <w:tcW w:w="7532" w:type="dxa"/>
            <w:gridSpan w:val="6"/>
            <w:vAlign w:val="center"/>
          </w:tcPr>
          <w:p>
            <w:pPr>
              <w:tabs>
                <w:tab w:val="left" w:pos="0"/>
              </w:tabs>
              <w:jc w:val="center"/>
              <w:rPr>
                <w:rFonts w:ascii="宋体" w:hAnsi="宋体"/>
                <w:szCs w:val="21"/>
              </w:rPr>
            </w:pPr>
            <w:r>
              <w:rPr>
                <w:rFonts w:hint="eastAsia" w:ascii="宋体" w:hAnsi="宋体"/>
                <w:b/>
                <w:szCs w:val="21"/>
                <w:u w:val="single"/>
              </w:rPr>
              <w:t xml:space="preserve">   </w:t>
            </w:r>
            <w:r>
              <w:rPr>
                <w:rFonts w:hint="eastAsia" w:ascii="宋体" w:hAnsi="宋体"/>
                <w:szCs w:val="21"/>
              </w:rPr>
              <w:t>年毕业于</w:t>
            </w:r>
            <w:r>
              <w:rPr>
                <w:rFonts w:hint="eastAsia" w:ascii="宋体" w:hAnsi="宋体"/>
                <w:b/>
                <w:szCs w:val="21"/>
                <w:u w:val="single"/>
              </w:rPr>
              <w:t xml:space="preserve">    </w:t>
            </w:r>
            <w:r>
              <w:rPr>
                <w:rFonts w:hint="eastAsia" w:ascii="宋体" w:hAnsi="宋体"/>
                <w:szCs w:val="21"/>
              </w:rPr>
              <w:t>学校</w:t>
            </w:r>
            <w:r>
              <w:rPr>
                <w:rFonts w:hint="eastAsia" w:ascii="宋体" w:hAnsi="宋体"/>
                <w:szCs w:val="21"/>
                <w:u w:val="single"/>
              </w:rPr>
              <w:t xml:space="preserve"> </w:t>
            </w:r>
            <w:r>
              <w:rPr>
                <w:rFonts w:hint="eastAsia" w:ascii="宋体" w:hAnsi="宋体"/>
                <w:b/>
                <w:szCs w:val="21"/>
                <w:u w:val="single"/>
              </w:rPr>
              <w:t xml:space="preserve">   </w:t>
            </w:r>
            <w:r>
              <w:rPr>
                <w:rFonts w:hint="eastAsia" w:ascii="宋体" w:hAnsi="宋体"/>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9000" w:type="dxa"/>
            <w:gridSpan w:val="8"/>
            <w:vAlign w:val="center"/>
          </w:tcPr>
          <w:p>
            <w:pPr>
              <w:tabs>
                <w:tab w:val="left" w:pos="0"/>
              </w:tabs>
              <w:jc w:val="center"/>
              <w:rPr>
                <w:rFonts w:ascii="宋体" w:hAnsi="宋体"/>
                <w:szCs w:val="21"/>
              </w:rPr>
            </w:pPr>
            <w:r>
              <w:rPr>
                <w:rFonts w:hint="eastAsia" w:ascii="宋体" w:hAnsi="宋体"/>
                <w:szCs w:val="21"/>
              </w:rPr>
              <w:t>主要经历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1410" w:type="dxa"/>
            <w:vAlign w:val="center"/>
          </w:tcPr>
          <w:p>
            <w:pPr>
              <w:tabs>
                <w:tab w:val="left" w:pos="0"/>
              </w:tabs>
              <w:jc w:val="center"/>
              <w:rPr>
                <w:rFonts w:ascii="宋体" w:hAnsi="宋体"/>
                <w:szCs w:val="21"/>
              </w:rPr>
            </w:pPr>
            <w:r>
              <w:rPr>
                <w:rFonts w:hint="eastAsia" w:ascii="宋体" w:hAnsi="宋体"/>
                <w:szCs w:val="21"/>
              </w:rPr>
              <w:t>时间</w:t>
            </w:r>
          </w:p>
        </w:tc>
        <w:tc>
          <w:tcPr>
            <w:tcW w:w="2469" w:type="dxa"/>
            <w:gridSpan w:val="3"/>
            <w:vAlign w:val="center"/>
          </w:tcPr>
          <w:p>
            <w:pPr>
              <w:tabs>
                <w:tab w:val="left" w:pos="0"/>
              </w:tabs>
              <w:jc w:val="center"/>
              <w:rPr>
                <w:rFonts w:ascii="宋体" w:hAnsi="宋体"/>
                <w:szCs w:val="21"/>
              </w:rPr>
            </w:pPr>
            <w:r>
              <w:rPr>
                <w:rFonts w:hint="eastAsia" w:ascii="宋体" w:hAnsi="宋体"/>
                <w:szCs w:val="21"/>
              </w:rPr>
              <w:t>参加过的类似项目</w:t>
            </w:r>
          </w:p>
        </w:tc>
        <w:tc>
          <w:tcPr>
            <w:tcW w:w="1757" w:type="dxa"/>
            <w:gridSpan w:val="2"/>
            <w:vAlign w:val="center"/>
          </w:tcPr>
          <w:p>
            <w:pPr>
              <w:tabs>
                <w:tab w:val="left" w:pos="0"/>
              </w:tabs>
              <w:jc w:val="center"/>
              <w:rPr>
                <w:rFonts w:ascii="宋体" w:hAnsi="宋体"/>
                <w:szCs w:val="21"/>
              </w:rPr>
            </w:pPr>
            <w:r>
              <w:rPr>
                <w:rFonts w:hint="eastAsia" w:ascii="宋体" w:hAnsi="宋体"/>
                <w:szCs w:val="21"/>
              </w:rPr>
              <w:t>担任职务</w:t>
            </w:r>
          </w:p>
        </w:tc>
        <w:tc>
          <w:tcPr>
            <w:tcW w:w="3364" w:type="dxa"/>
            <w:gridSpan w:val="2"/>
            <w:vAlign w:val="center"/>
          </w:tcPr>
          <w:p>
            <w:pPr>
              <w:tabs>
                <w:tab w:val="left" w:pos="0"/>
              </w:tabs>
              <w:jc w:val="center"/>
              <w:rPr>
                <w:rFonts w:ascii="宋体" w:hAnsi="宋体"/>
                <w:szCs w:val="21"/>
              </w:rPr>
            </w:pPr>
            <w:r>
              <w:rPr>
                <w:rFonts w:hint="eastAsia"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1410" w:type="dxa"/>
            <w:vAlign w:val="center"/>
          </w:tcPr>
          <w:p>
            <w:pPr>
              <w:jc w:val="center"/>
              <w:rPr>
                <w:rFonts w:ascii="宋体" w:hAnsi="宋体"/>
                <w:szCs w:val="21"/>
              </w:rPr>
            </w:pPr>
          </w:p>
        </w:tc>
        <w:tc>
          <w:tcPr>
            <w:tcW w:w="2469" w:type="dxa"/>
            <w:gridSpan w:val="3"/>
            <w:vAlign w:val="center"/>
          </w:tcPr>
          <w:p>
            <w:pPr>
              <w:jc w:val="center"/>
              <w:rPr>
                <w:rFonts w:ascii="宋体" w:hAnsi="宋体"/>
                <w:szCs w:val="21"/>
              </w:rPr>
            </w:pPr>
          </w:p>
        </w:tc>
        <w:tc>
          <w:tcPr>
            <w:tcW w:w="1757" w:type="dxa"/>
            <w:gridSpan w:val="2"/>
            <w:vAlign w:val="center"/>
          </w:tcPr>
          <w:p>
            <w:pPr>
              <w:jc w:val="center"/>
              <w:rPr>
                <w:rFonts w:ascii="宋体" w:hAnsi="宋体"/>
                <w:szCs w:val="21"/>
              </w:rPr>
            </w:pPr>
          </w:p>
        </w:tc>
        <w:tc>
          <w:tcPr>
            <w:tcW w:w="3364" w:type="dxa"/>
            <w:gridSpan w:val="2"/>
            <w:vAlign w:val="center"/>
          </w:tcPr>
          <w:p>
            <w:pPr>
              <w:autoSpaceDE w:val="0"/>
              <w:autoSpaceDN w:val="0"/>
              <w:jc w:val="center"/>
              <w:rPr>
                <w:rFonts w:ascii="宋体" w:hAnsi="宋体"/>
                <w:szCs w:val="21"/>
              </w:rPr>
            </w:pPr>
          </w:p>
        </w:tc>
      </w:tr>
    </w:tbl>
    <w:p>
      <w:pPr>
        <w:tabs>
          <w:tab w:val="left" w:pos="0"/>
        </w:tabs>
        <w:ind w:right="26"/>
        <w:jc w:val="center"/>
        <w:rPr>
          <w:rFonts w:ascii="宋体" w:hAnsi="宋体"/>
          <w:b/>
          <w:sz w:val="36"/>
          <w:szCs w:val="36"/>
        </w:rPr>
      </w:pPr>
    </w:p>
    <w:p>
      <w:pPr>
        <w:spacing w:before="240" w:beforeLines="100" w:after="120" w:afterLines="50" w:line="440" w:lineRule="exact"/>
        <w:jc w:val="center"/>
        <w:outlineLvl w:val="0"/>
        <w:rPr>
          <w:rFonts w:ascii="黑体" w:hAnsi="宋体" w:eastAsia="黑体"/>
          <w:sz w:val="28"/>
          <w:szCs w:val="28"/>
        </w:rPr>
      </w:pPr>
      <w:r>
        <w:rPr>
          <w:rFonts w:ascii="宋体" w:hAnsi="宋体"/>
          <w:b/>
          <w:sz w:val="36"/>
          <w:szCs w:val="36"/>
        </w:rPr>
        <w:br w:type="page"/>
      </w:r>
      <w:bookmarkStart w:id="100" w:name="_Toc41309529"/>
      <w:bookmarkStart w:id="101" w:name="_Toc27884"/>
      <w:bookmarkStart w:id="102" w:name="_Toc15655"/>
      <w:bookmarkStart w:id="103" w:name="_Toc455588679"/>
      <w:r>
        <w:rPr>
          <w:rFonts w:hint="eastAsia" w:ascii="黑体" w:hAnsi="宋体" w:eastAsia="黑体"/>
          <w:sz w:val="28"/>
          <w:szCs w:val="28"/>
        </w:rPr>
        <w:t>七、资格审查资料</w:t>
      </w:r>
      <w:bookmarkEnd w:id="100"/>
      <w:bookmarkEnd w:id="101"/>
      <w:bookmarkEnd w:id="102"/>
      <w:bookmarkEnd w:id="103"/>
    </w:p>
    <w:p>
      <w:pPr>
        <w:spacing w:before="120" w:beforeLines="50" w:after="240" w:afterLines="100" w:line="440" w:lineRule="exact"/>
        <w:outlineLvl w:val="0"/>
        <w:rPr>
          <w:rFonts w:ascii="黑体" w:hAnsi="宋体" w:eastAsia="黑体"/>
          <w:sz w:val="24"/>
        </w:rPr>
      </w:pPr>
      <w:bookmarkStart w:id="104" w:name="_Toc41309530"/>
      <w:bookmarkStart w:id="105" w:name="_Toc455588680"/>
      <w:r>
        <w:rPr>
          <w:rFonts w:hint="eastAsia" w:ascii="黑体" w:hAnsi="宋体" w:eastAsia="黑体"/>
          <w:sz w:val="24"/>
        </w:rPr>
        <w:t>（一）投标人基本情况表</w:t>
      </w:r>
      <w:bookmarkEnd w:id="104"/>
      <w:bookmarkEnd w:id="105"/>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97"/>
        <w:gridCol w:w="1021"/>
        <w:gridCol w:w="993"/>
        <w:gridCol w:w="283"/>
        <w:gridCol w:w="195"/>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投标人名称</w:t>
            </w:r>
          </w:p>
        </w:tc>
        <w:tc>
          <w:tcPr>
            <w:tcW w:w="7020" w:type="dxa"/>
            <w:gridSpan w:val="9"/>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注册地址</w:t>
            </w:r>
          </w:p>
        </w:tc>
        <w:tc>
          <w:tcPr>
            <w:tcW w:w="3389" w:type="dxa"/>
            <w:gridSpan w:val="5"/>
            <w:vAlign w:val="center"/>
          </w:tcPr>
          <w:p>
            <w:pPr>
              <w:jc w:val="center"/>
              <w:rPr>
                <w:rFonts w:ascii="宋体" w:hAnsi="宋体"/>
                <w:szCs w:val="21"/>
              </w:rPr>
            </w:pPr>
          </w:p>
        </w:tc>
        <w:tc>
          <w:tcPr>
            <w:tcW w:w="1246" w:type="dxa"/>
            <w:vAlign w:val="center"/>
          </w:tcPr>
          <w:p>
            <w:pPr>
              <w:jc w:val="center"/>
              <w:rPr>
                <w:rFonts w:ascii="宋体" w:hAnsi="宋体"/>
                <w:szCs w:val="21"/>
              </w:rPr>
            </w:pPr>
            <w:r>
              <w:rPr>
                <w:rFonts w:hint="eastAsia" w:ascii="宋体" w:hAnsi="宋体"/>
                <w:szCs w:val="21"/>
              </w:rPr>
              <w:t>邮政编码</w:t>
            </w:r>
          </w:p>
        </w:tc>
        <w:tc>
          <w:tcPr>
            <w:tcW w:w="2385"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restart"/>
            <w:vAlign w:val="center"/>
          </w:tcPr>
          <w:p>
            <w:pPr>
              <w:jc w:val="center"/>
              <w:rPr>
                <w:rFonts w:ascii="宋体" w:hAnsi="宋体"/>
                <w:szCs w:val="21"/>
              </w:rPr>
            </w:pPr>
            <w:r>
              <w:rPr>
                <w:rFonts w:hint="eastAsia" w:ascii="宋体" w:hAnsi="宋体"/>
                <w:szCs w:val="21"/>
              </w:rPr>
              <w:t>联系方式</w:t>
            </w:r>
          </w:p>
        </w:tc>
        <w:tc>
          <w:tcPr>
            <w:tcW w:w="897" w:type="dxa"/>
            <w:vAlign w:val="center"/>
          </w:tcPr>
          <w:p>
            <w:pPr>
              <w:jc w:val="center"/>
              <w:rPr>
                <w:rFonts w:ascii="宋体" w:hAnsi="宋体"/>
                <w:szCs w:val="21"/>
              </w:rPr>
            </w:pPr>
            <w:r>
              <w:rPr>
                <w:rFonts w:hint="eastAsia" w:ascii="宋体" w:hAnsi="宋体"/>
                <w:szCs w:val="21"/>
              </w:rPr>
              <w:t>联系人</w:t>
            </w:r>
          </w:p>
        </w:tc>
        <w:tc>
          <w:tcPr>
            <w:tcW w:w="2492" w:type="dxa"/>
            <w:gridSpan w:val="4"/>
            <w:vAlign w:val="center"/>
          </w:tcPr>
          <w:p>
            <w:pPr>
              <w:jc w:val="center"/>
              <w:rPr>
                <w:rFonts w:ascii="宋体" w:hAnsi="宋体"/>
                <w:szCs w:val="21"/>
              </w:rPr>
            </w:pPr>
          </w:p>
        </w:tc>
        <w:tc>
          <w:tcPr>
            <w:tcW w:w="1246" w:type="dxa"/>
            <w:vAlign w:val="center"/>
          </w:tcPr>
          <w:p>
            <w:pPr>
              <w:jc w:val="center"/>
              <w:rPr>
                <w:rFonts w:ascii="宋体" w:hAnsi="宋体"/>
                <w:szCs w:val="21"/>
              </w:rPr>
            </w:pPr>
            <w:r>
              <w:rPr>
                <w:rFonts w:hint="eastAsia" w:ascii="宋体" w:hAnsi="宋体"/>
                <w:szCs w:val="21"/>
              </w:rPr>
              <w:t>电  话</w:t>
            </w:r>
          </w:p>
        </w:tc>
        <w:tc>
          <w:tcPr>
            <w:tcW w:w="2385"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continue"/>
            <w:vAlign w:val="center"/>
          </w:tcPr>
          <w:p>
            <w:pPr>
              <w:jc w:val="center"/>
              <w:rPr>
                <w:rFonts w:ascii="宋体" w:hAnsi="宋体"/>
                <w:szCs w:val="21"/>
              </w:rPr>
            </w:pPr>
          </w:p>
        </w:tc>
        <w:tc>
          <w:tcPr>
            <w:tcW w:w="897" w:type="dxa"/>
            <w:vAlign w:val="center"/>
          </w:tcPr>
          <w:p>
            <w:pPr>
              <w:jc w:val="center"/>
              <w:rPr>
                <w:rFonts w:ascii="宋体" w:hAnsi="宋体"/>
                <w:szCs w:val="21"/>
              </w:rPr>
            </w:pPr>
            <w:r>
              <w:rPr>
                <w:rFonts w:hint="eastAsia" w:ascii="宋体" w:hAnsi="宋体"/>
                <w:szCs w:val="21"/>
              </w:rPr>
              <w:t>传  真</w:t>
            </w:r>
          </w:p>
        </w:tc>
        <w:tc>
          <w:tcPr>
            <w:tcW w:w="2492" w:type="dxa"/>
            <w:gridSpan w:val="4"/>
            <w:vAlign w:val="center"/>
          </w:tcPr>
          <w:p>
            <w:pPr>
              <w:jc w:val="center"/>
              <w:rPr>
                <w:rFonts w:ascii="宋体" w:hAnsi="宋体"/>
                <w:szCs w:val="21"/>
              </w:rPr>
            </w:pPr>
          </w:p>
        </w:tc>
        <w:tc>
          <w:tcPr>
            <w:tcW w:w="1246" w:type="dxa"/>
            <w:vAlign w:val="center"/>
          </w:tcPr>
          <w:p>
            <w:pPr>
              <w:jc w:val="center"/>
              <w:rPr>
                <w:rFonts w:ascii="宋体" w:hAnsi="宋体"/>
                <w:szCs w:val="21"/>
              </w:rPr>
            </w:pPr>
            <w:r>
              <w:rPr>
                <w:rFonts w:hint="eastAsia" w:ascii="宋体" w:hAnsi="宋体"/>
                <w:szCs w:val="21"/>
              </w:rPr>
              <w:t>网  址</w:t>
            </w:r>
          </w:p>
        </w:tc>
        <w:tc>
          <w:tcPr>
            <w:tcW w:w="2385"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组织结构</w:t>
            </w:r>
          </w:p>
        </w:tc>
        <w:tc>
          <w:tcPr>
            <w:tcW w:w="7020" w:type="dxa"/>
            <w:gridSpan w:val="9"/>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法定代表人</w:t>
            </w:r>
          </w:p>
        </w:tc>
        <w:tc>
          <w:tcPr>
            <w:tcW w:w="897" w:type="dxa"/>
            <w:vAlign w:val="center"/>
          </w:tcPr>
          <w:p>
            <w:pPr>
              <w:jc w:val="center"/>
              <w:rPr>
                <w:rFonts w:ascii="宋体" w:hAnsi="宋体"/>
                <w:szCs w:val="21"/>
              </w:rPr>
            </w:pPr>
            <w:r>
              <w:rPr>
                <w:rFonts w:hint="eastAsia" w:ascii="宋体" w:hAnsi="宋体"/>
                <w:szCs w:val="21"/>
              </w:rPr>
              <w:t>姓名</w:t>
            </w:r>
          </w:p>
        </w:tc>
        <w:tc>
          <w:tcPr>
            <w:tcW w:w="1021" w:type="dxa"/>
            <w:vAlign w:val="center"/>
          </w:tcPr>
          <w:p>
            <w:pPr>
              <w:jc w:val="center"/>
              <w:rPr>
                <w:rFonts w:ascii="宋体" w:hAnsi="宋体"/>
                <w:szCs w:val="21"/>
              </w:rPr>
            </w:pPr>
          </w:p>
        </w:tc>
        <w:tc>
          <w:tcPr>
            <w:tcW w:w="1276" w:type="dxa"/>
            <w:gridSpan w:val="2"/>
            <w:vAlign w:val="center"/>
          </w:tcPr>
          <w:p>
            <w:pPr>
              <w:jc w:val="center"/>
              <w:rPr>
                <w:rFonts w:ascii="宋体" w:hAnsi="宋体"/>
                <w:szCs w:val="21"/>
              </w:rPr>
            </w:pPr>
            <w:r>
              <w:rPr>
                <w:rFonts w:hint="eastAsia" w:ascii="宋体" w:hAnsi="宋体"/>
                <w:szCs w:val="21"/>
              </w:rPr>
              <w:t>技术职称</w:t>
            </w:r>
          </w:p>
        </w:tc>
        <w:tc>
          <w:tcPr>
            <w:tcW w:w="1701" w:type="dxa"/>
            <w:gridSpan w:val="3"/>
            <w:vAlign w:val="center"/>
          </w:tcPr>
          <w:p>
            <w:pPr>
              <w:jc w:val="center"/>
              <w:rPr>
                <w:rFonts w:ascii="宋体" w:hAnsi="宋体"/>
                <w:szCs w:val="21"/>
              </w:rPr>
            </w:pPr>
          </w:p>
        </w:tc>
        <w:tc>
          <w:tcPr>
            <w:tcW w:w="709" w:type="dxa"/>
            <w:vAlign w:val="center"/>
          </w:tcPr>
          <w:p>
            <w:pPr>
              <w:jc w:val="center"/>
              <w:rPr>
                <w:rFonts w:ascii="宋体" w:hAnsi="宋体"/>
                <w:szCs w:val="21"/>
              </w:rPr>
            </w:pPr>
            <w:r>
              <w:rPr>
                <w:rFonts w:hint="eastAsia" w:ascii="宋体" w:hAnsi="宋体"/>
                <w:szCs w:val="21"/>
              </w:rPr>
              <w:t>电话</w:t>
            </w:r>
          </w:p>
        </w:tc>
        <w:tc>
          <w:tcPr>
            <w:tcW w:w="141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技术负责人</w:t>
            </w:r>
          </w:p>
        </w:tc>
        <w:tc>
          <w:tcPr>
            <w:tcW w:w="897" w:type="dxa"/>
            <w:vAlign w:val="center"/>
          </w:tcPr>
          <w:p>
            <w:pPr>
              <w:jc w:val="center"/>
              <w:rPr>
                <w:rFonts w:ascii="宋体" w:hAnsi="宋体"/>
                <w:szCs w:val="21"/>
              </w:rPr>
            </w:pPr>
            <w:r>
              <w:rPr>
                <w:rFonts w:hint="eastAsia" w:ascii="宋体" w:hAnsi="宋体"/>
                <w:szCs w:val="21"/>
              </w:rPr>
              <w:t>姓名</w:t>
            </w:r>
          </w:p>
        </w:tc>
        <w:tc>
          <w:tcPr>
            <w:tcW w:w="1021" w:type="dxa"/>
            <w:vAlign w:val="center"/>
          </w:tcPr>
          <w:p>
            <w:pPr>
              <w:jc w:val="center"/>
              <w:rPr>
                <w:rFonts w:ascii="宋体" w:hAnsi="宋体"/>
                <w:szCs w:val="21"/>
              </w:rPr>
            </w:pPr>
          </w:p>
        </w:tc>
        <w:tc>
          <w:tcPr>
            <w:tcW w:w="1276" w:type="dxa"/>
            <w:gridSpan w:val="2"/>
            <w:vAlign w:val="center"/>
          </w:tcPr>
          <w:p>
            <w:pPr>
              <w:jc w:val="center"/>
              <w:rPr>
                <w:rFonts w:ascii="宋体" w:hAnsi="宋体"/>
                <w:szCs w:val="21"/>
              </w:rPr>
            </w:pPr>
            <w:r>
              <w:rPr>
                <w:rFonts w:hint="eastAsia" w:ascii="宋体" w:hAnsi="宋体"/>
                <w:szCs w:val="21"/>
              </w:rPr>
              <w:t>技术职称</w:t>
            </w:r>
          </w:p>
        </w:tc>
        <w:tc>
          <w:tcPr>
            <w:tcW w:w="1701" w:type="dxa"/>
            <w:gridSpan w:val="3"/>
            <w:vAlign w:val="center"/>
          </w:tcPr>
          <w:p>
            <w:pPr>
              <w:jc w:val="center"/>
              <w:rPr>
                <w:rFonts w:ascii="宋体" w:hAnsi="宋体"/>
                <w:szCs w:val="21"/>
              </w:rPr>
            </w:pPr>
          </w:p>
        </w:tc>
        <w:tc>
          <w:tcPr>
            <w:tcW w:w="709" w:type="dxa"/>
            <w:vAlign w:val="center"/>
          </w:tcPr>
          <w:p>
            <w:pPr>
              <w:jc w:val="center"/>
              <w:rPr>
                <w:rFonts w:ascii="宋体" w:hAnsi="宋体"/>
                <w:szCs w:val="21"/>
              </w:rPr>
            </w:pPr>
            <w:r>
              <w:rPr>
                <w:rFonts w:hint="eastAsia" w:ascii="宋体" w:hAnsi="宋体"/>
                <w:szCs w:val="21"/>
              </w:rPr>
              <w:t>电话</w:t>
            </w:r>
          </w:p>
        </w:tc>
        <w:tc>
          <w:tcPr>
            <w:tcW w:w="1416"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成立时间</w:t>
            </w:r>
          </w:p>
        </w:tc>
        <w:tc>
          <w:tcPr>
            <w:tcW w:w="1918" w:type="dxa"/>
            <w:gridSpan w:val="2"/>
            <w:vAlign w:val="center"/>
          </w:tcPr>
          <w:p>
            <w:pPr>
              <w:jc w:val="center"/>
              <w:rPr>
                <w:rFonts w:ascii="宋体" w:hAnsi="宋体"/>
                <w:szCs w:val="21"/>
              </w:rPr>
            </w:pPr>
          </w:p>
        </w:tc>
        <w:tc>
          <w:tcPr>
            <w:tcW w:w="5102" w:type="dxa"/>
            <w:gridSpan w:val="7"/>
            <w:vAlign w:val="center"/>
          </w:tcPr>
          <w:p>
            <w:pPr>
              <w:jc w:val="center"/>
              <w:rPr>
                <w:rFonts w:ascii="宋体" w:hAnsi="宋体"/>
                <w:szCs w:val="21"/>
              </w:rPr>
            </w:pPr>
            <w:r>
              <w:rPr>
                <w:rFonts w:hint="eastAsia" w:ascii="宋体" w:hAnsi="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企业资质等级</w:t>
            </w:r>
          </w:p>
        </w:tc>
        <w:tc>
          <w:tcPr>
            <w:tcW w:w="897"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993" w:type="dxa"/>
            <w:vMerge w:val="restart"/>
            <w:vAlign w:val="center"/>
          </w:tcPr>
          <w:p>
            <w:pPr>
              <w:jc w:val="center"/>
              <w:rPr>
                <w:rFonts w:ascii="宋体" w:hAnsi="宋体"/>
                <w:szCs w:val="21"/>
              </w:rPr>
            </w:pPr>
            <w:r>
              <w:rPr>
                <w:rFonts w:hint="eastAsia" w:ascii="宋体" w:hAnsi="宋体"/>
                <w:szCs w:val="21"/>
              </w:rPr>
              <w:t>其中</w:t>
            </w:r>
          </w:p>
        </w:tc>
        <w:tc>
          <w:tcPr>
            <w:tcW w:w="1984" w:type="dxa"/>
            <w:gridSpan w:val="4"/>
            <w:vAlign w:val="center"/>
          </w:tcPr>
          <w:p>
            <w:pPr>
              <w:jc w:val="center"/>
              <w:rPr>
                <w:rFonts w:ascii="宋体" w:hAnsi="宋体"/>
                <w:szCs w:val="21"/>
              </w:rPr>
            </w:pPr>
            <w:r>
              <w:rPr>
                <w:rFonts w:hint="eastAsia" w:ascii="宋体" w:hAnsi="宋体"/>
                <w:szCs w:val="21"/>
              </w:rPr>
              <w:t>项目经理</w:t>
            </w:r>
          </w:p>
        </w:tc>
        <w:tc>
          <w:tcPr>
            <w:tcW w:w="2125"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营业执照号</w:t>
            </w:r>
          </w:p>
        </w:tc>
        <w:tc>
          <w:tcPr>
            <w:tcW w:w="897"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993" w:type="dxa"/>
            <w:vMerge w:val="continue"/>
            <w:vAlign w:val="center"/>
          </w:tcPr>
          <w:p>
            <w:pPr>
              <w:jc w:val="center"/>
              <w:rPr>
                <w:rFonts w:ascii="宋体" w:hAnsi="宋体"/>
                <w:szCs w:val="21"/>
              </w:rPr>
            </w:pPr>
          </w:p>
        </w:tc>
        <w:tc>
          <w:tcPr>
            <w:tcW w:w="1984" w:type="dxa"/>
            <w:gridSpan w:val="4"/>
            <w:vAlign w:val="center"/>
          </w:tcPr>
          <w:p>
            <w:pPr>
              <w:jc w:val="center"/>
              <w:rPr>
                <w:rFonts w:ascii="宋体" w:hAnsi="宋体"/>
                <w:szCs w:val="21"/>
              </w:rPr>
            </w:pPr>
            <w:r>
              <w:rPr>
                <w:rFonts w:hint="eastAsia" w:ascii="宋体" w:hAnsi="宋体"/>
                <w:szCs w:val="21"/>
              </w:rPr>
              <w:t>高级职称人员</w:t>
            </w:r>
          </w:p>
        </w:tc>
        <w:tc>
          <w:tcPr>
            <w:tcW w:w="2125"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注册资金</w:t>
            </w:r>
          </w:p>
        </w:tc>
        <w:tc>
          <w:tcPr>
            <w:tcW w:w="897"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993" w:type="dxa"/>
            <w:vMerge w:val="continue"/>
            <w:vAlign w:val="center"/>
          </w:tcPr>
          <w:p>
            <w:pPr>
              <w:jc w:val="center"/>
              <w:rPr>
                <w:rFonts w:ascii="宋体" w:hAnsi="宋体"/>
                <w:szCs w:val="21"/>
              </w:rPr>
            </w:pPr>
          </w:p>
        </w:tc>
        <w:tc>
          <w:tcPr>
            <w:tcW w:w="1984" w:type="dxa"/>
            <w:gridSpan w:val="4"/>
            <w:vAlign w:val="center"/>
          </w:tcPr>
          <w:p>
            <w:pPr>
              <w:jc w:val="center"/>
              <w:rPr>
                <w:rFonts w:ascii="宋体" w:hAnsi="宋体"/>
                <w:szCs w:val="21"/>
              </w:rPr>
            </w:pPr>
            <w:r>
              <w:rPr>
                <w:rFonts w:hint="eastAsia" w:ascii="宋体" w:hAnsi="宋体"/>
                <w:szCs w:val="21"/>
              </w:rPr>
              <w:t>中级职称人员</w:t>
            </w:r>
          </w:p>
        </w:tc>
        <w:tc>
          <w:tcPr>
            <w:tcW w:w="2125"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开户银行</w:t>
            </w:r>
          </w:p>
        </w:tc>
        <w:tc>
          <w:tcPr>
            <w:tcW w:w="897"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993" w:type="dxa"/>
            <w:vMerge w:val="continue"/>
            <w:vAlign w:val="center"/>
          </w:tcPr>
          <w:p>
            <w:pPr>
              <w:jc w:val="center"/>
              <w:rPr>
                <w:rFonts w:ascii="宋体" w:hAnsi="宋体"/>
                <w:szCs w:val="21"/>
              </w:rPr>
            </w:pPr>
          </w:p>
        </w:tc>
        <w:tc>
          <w:tcPr>
            <w:tcW w:w="1984" w:type="dxa"/>
            <w:gridSpan w:val="4"/>
            <w:vAlign w:val="center"/>
          </w:tcPr>
          <w:p>
            <w:pPr>
              <w:jc w:val="center"/>
              <w:rPr>
                <w:rFonts w:ascii="宋体" w:hAnsi="宋体"/>
                <w:szCs w:val="21"/>
              </w:rPr>
            </w:pPr>
            <w:r>
              <w:rPr>
                <w:rFonts w:hint="eastAsia" w:ascii="宋体" w:hAnsi="宋体"/>
                <w:szCs w:val="21"/>
              </w:rPr>
              <w:t>初级职称人员</w:t>
            </w:r>
          </w:p>
        </w:tc>
        <w:tc>
          <w:tcPr>
            <w:tcW w:w="2125"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账号</w:t>
            </w:r>
          </w:p>
        </w:tc>
        <w:tc>
          <w:tcPr>
            <w:tcW w:w="897" w:type="dxa"/>
            <w:vAlign w:val="center"/>
          </w:tcPr>
          <w:p>
            <w:pPr>
              <w:jc w:val="center"/>
              <w:rPr>
                <w:rFonts w:ascii="宋体" w:hAnsi="宋体"/>
                <w:szCs w:val="21"/>
              </w:rPr>
            </w:pPr>
          </w:p>
        </w:tc>
        <w:tc>
          <w:tcPr>
            <w:tcW w:w="1021" w:type="dxa"/>
            <w:vAlign w:val="center"/>
          </w:tcPr>
          <w:p>
            <w:pPr>
              <w:jc w:val="center"/>
              <w:rPr>
                <w:rFonts w:ascii="宋体" w:hAnsi="宋体"/>
                <w:szCs w:val="21"/>
              </w:rPr>
            </w:pPr>
          </w:p>
        </w:tc>
        <w:tc>
          <w:tcPr>
            <w:tcW w:w="993" w:type="dxa"/>
            <w:vMerge w:val="continue"/>
            <w:vAlign w:val="center"/>
          </w:tcPr>
          <w:p>
            <w:pPr>
              <w:jc w:val="center"/>
              <w:rPr>
                <w:rFonts w:ascii="宋体" w:hAnsi="宋体"/>
                <w:szCs w:val="21"/>
              </w:rPr>
            </w:pPr>
          </w:p>
        </w:tc>
        <w:tc>
          <w:tcPr>
            <w:tcW w:w="1984" w:type="dxa"/>
            <w:gridSpan w:val="4"/>
            <w:vAlign w:val="center"/>
          </w:tcPr>
          <w:p>
            <w:pPr>
              <w:jc w:val="center"/>
              <w:rPr>
                <w:rFonts w:ascii="宋体" w:hAnsi="宋体"/>
                <w:szCs w:val="21"/>
              </w:rPr>
            </w:pPr>
            <w:r>
              <w:rPr>
                <w:rFonts w:hint="eastAsia" w:ascii="宋体" w:hAnsi="宋体"/>
                <w:szCs w:val="21"/>
              </w:rPr>
              <w:t>技  工</w:t>
            </w:r>
          </w:p>
        </w:tc>
        <w:tc>
          <w:tcPr>
            <w:tcW w:w="2125"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485" w:type="dxa"/>
            <w:vAlign w:val="center"/>
          </w:tcPr>
          <w:p>
            <w:pPr>
              <w:jc w:val="center"/>
              <w:rPr>
                <w:rFonts w:ascii="宋体" w:hAnsi="宋体"/>
                <w:szCs w:val="21"/>
              </w:rPr>
            </w:pPr>
            <w:r>
              <w:rPr>
                <w:rFonts w:hint="eastAsia" w:ascii="宋体" w:hAnsi="宋体"/>
                <w:szCs w:val="21"/>
              </w:rPr>
              <w:t>经营范围</w:t>
            </w:r>
          </w:p>
        </w:tc>
        <w:tc>
          <w:tcPr>
            <w:tcW w:w="7020" w:type="dxa"/>
            <w:gridSpan w:val="9"/>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Align w:val="center"/>
          </w:tcPr>
          <w:p>
            <w:pPr>
              <w:jc w:val="center"/>
              <w:rPr>
                <w:rFonts w:ascii="宋体" w:hAnsi="宋体"/>
                <w:szCs w:val="21"/>
              </w:rPr>
            </w:pPr>
            <w:r>
              <w:rPr>
                <w:rFonts w:hint="eastAsia" w:ascii="宋体" w:hAnsi="宋体"/>
                <w:szCs w:val="21"/>
              </w:rPr>
              <w:t>备注</w:t>
            </w:r>
          </w:p>
        </w:tc>
        <w:tc>
          <w:tcPr>
            <w:tcW w:w="7020" w:type="dxa"/>
            <w:gridSpan w:val="9"/>
            <w:vAlign w:val="center"/>
          </w:tcPr>
          <w:p>
            <w:pPr>
              <w:jc w:val="center"/>
              <w:rPr>
                <w:rFonts w:ascii="宋体" w:hAnsi="宋体"/>
                <w:szCs w:val="21"/>
              </w:rPr>
            </w:pPr>
          </w:p>
        </w:tc>
      </w:tr>
    </w:tbl>
    <w:p>
      <w:pPr>
        <w:spacing w:line="440" w:lineRule="exact"/>
        <w:rPr>
          <w:rFonts w:ascii="宋体" w:hAnsi="宋体"/>
          <w:szCs w:val="21"/>
        </w:rPr>
      </w:pPr>
      <w:r>
        <w:rPr>
          <w:rFonts w:hint="eastAsia" w:ascii="黑体" w:hAnsi="宋体" w:eastAsia="黑体"/>
          <w:szCs w:val="21"/>
        </w:rPr>
        <w:t>备注：</w:t>
      </w:r>
      <w:r>
        <w:rPr>
          <w:rFonts w:hint="eastAsia" w:ascii="宋体" w:hAnsi="宋体"/>
          <w:szCs w:val="21"/>
        </w:rPr>
        <w:t>本表后应附企业法人营业执照副本、企业资质证书副本、安全生产许可证（施工单位提供）等材料的复印件。</w:t>
      </w:r>
    </w:p>
    <w:p>
      <w:pPr>
        <w:spacing w:before="120" w:beforeLines="50" w:after="240" w:afterLines="100" w:line="440" w:lineRule="exact"/>
        <w:outlineLvl w:val="0"/>
        <w:rPr>
          <w:rFonts w:ascii="黑体" w:hAnsi="宋体" w:eastAsia="黑体"/>
          <w:sz w:val="24"/>
        </w:rPr>
      </w:pPr>
      <w:r>
        <w:rPr>
          <w:rFonts w:ascii="宋体" w:hAnsi="宋体"/>
          <w:szCs w:val="21"/>
        </w:rPr>
        <w:br w:type="page"/>
      </w:r>
      <w:bookmarkStart w:id="106" w:name="_Toc455588681"/>
      <w:bookmarkStart w:id="107" w:name="_Toc41309531"/>
      <w:r>
        <w:rPr>
          <w:rFonts w:hint="eastAsia" w:ascii="黑体" w:hAnsi="宋体" w:eastAsia="黑体"/>
          <w:sz w:val="24"/>
        </w:rPr>
        <w:t>（二）近年财务状况表</w:t>
      </w:r>
      <w:bookmarkEnd w:id="106"/>
      <w:bookmarkEnd w:id="107"/>
    </w:p>
    <w:p>
      <w:pPr>
        <w:spacing w:line="440" w:lineRule="exact"/>
        <w:ind w:left="630" w:hanging="630" w:hangingChars="300"/>
        <w:rPr>
          <w:rFonts w:ascii="宋体" w:hAnsi="宋体"/>
          <w:szCs w:val="21"/>
        </w:rPr>
      </w:pPr>
      <w:r>
        <w:rPr>
          <w:rFonts w:hint="eastAsia" w:ascii="黑体" w:hAnsi="宋体" w:eastAsia="黑体"/>
          <w:szCs w:val="21"/>
        </w:rPr>
        <w:t>备注：</w:t>
      </w:r>
      <w:r>
        <w:rPr>
          <w:rFonts w:hint="eastAsia" w:ascii="宋体" w:hAnsi="宋体"/>
          <w:szCs w:val="21"/>
        </w:rPr>
        <w:t>在此附经会计师事务所或审计机构审计的财务财务会计报表复印件，具体年份要求见第二章“投标人须知”的规定。</w:t>
      </w:r>
    </w:p>
    <w:p>
      <w:pPr>
        <w:spacing w:before="120" w:beforeLines="50" w:after="120" w:afterLines="50" w:line="440" w:lineRule="exact"/>
        <w:ind w:left="630" w:hanging="630" w:hangingChars="300"/>
        <w:outlineLvl w:val="0"/>
        <w:rPr>
          <w:rFonts w:ascii="黑体" w:hAnsi="宋体" w:eastAsia="黑体"/>
          <w:sz w:val="24"/>
        </w:rPr>
      </w:pPr>
      <w:r>
        <w:rPr>
          <w:rFonts w:ascii="宋体" w:hAnsi="宋体"/>
          <w:szCs w:val="21"/>
        </w:rPr>
        <w:br w:type="page"/>
      </w:r>
      <w:bookmarkStart w:id="108" w:name="_Toc41309532"/>
      <w:bookmarkStart w:id="109" w:name="_Toc455588682"/>
      <w:r>
        <w:rPr>
          <w:rFonts w:hint="eastAsia" w:ascii="黑体" w:hAnsi="宋体" w:eastAsia="黑体"/>
          <w:sz w:val="24"/>
        </w:rPr>
        <w:t>（三）近年代建的类似项目情况表</w:t>
      </w:r>
      <w:bookmarkEnd w:id="108"/>
      <w:bookmarkEnd w:id="109"/>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项目名称</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项目所在地</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发包人名称</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发包人地址</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发包人联系人及电话</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合同价格</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开工日期</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竣工日期</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承担的工作</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工程质量</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项目经理</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技术负责人</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总监理工程师及电话</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jc w:val="center"/>
        </w:trPr>
        <w:tc>
          <w:tcPr>
            <w:tcW w:w="2411" w:type="dxa"/>
            <w:vAlign w:val="center"/>
          </w:tcPr>
          <w:p>
            <w:pPr>
              <w:jc w:val="center"/>
              <w:rPr>
                <w:rFonts w:ascii="宋体" w:hAnsi="宋体"/>
                <w:szCs w:val="21"/>
              </w:rPr>
            </w:pPr>
            <w:r>
              <w:rPr>
                <w:rFonts w:hint="eastAsia" w:ascii="宋体" w:hAnsi="宋体"/>
                <w:szCs w:val="21"/>
              </w:rPr>
              <w:t>项目描述</w:t>
            </w:r>
          </w:p>
        </w:tc>
        <w:tc>
          <w:tcPr>
            <w:tcW w:w="609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jc w:val="center"/>
              <w:rPr>
                <w:rFonts w:ascii="宋体" w:hAnsi="宋体"/>
                <w:szCs w:val="21"/>
              </w:rPr>
            </w:pPr>
            <w:r>
              <w:rPr>
                <w:rFonts w:hint="eastAsia" w:ascii="宋体" w:hAnsi="宋体"/>
                <w:szCs w:val="21"/>
              </w:rPr>
              <w:t>备注</w:t>
            </w:r>
          </w:p>
        </w:tc>
        <w:tc>
          <w:tcPr>
            <w:tcW w:w="6094" w:type="dxa"/>
            <w:vAlign w:val="center"/>
          </w:tcPr>
          <w:p>
            <w:pPr>
              <w:jc w:val="center"/>
              <w:rPr>
                <w:rFonts w:ascii="宋体" w:hAnsi="宋体"/>
                <w:szCs w:val="21"/>
              </w:rPr>
            </w:pPr>
          </w:p>
        </w:tc>
      </w:tr>
    </w:tbl>
    <w:p>
      <w:pPr>
        <w:spacing w:line="440" w:lineRule="exact"/>
        <w:ind w:left="630" w:hanging="630" w:hangingChars="300"/>
        <w:rPr>
          <w:rFonts w:ascii="宋体" w:hAnsi="宋体"/>
          <w:szCs w:val="21"/>
        </w:rPr>
      </w:pPr>
      <w:r>
        <w:rPr>
          <w:rFonts w:hint="eastAsia" w:ascii="黑体" w:hAnsi="宋体" w:eastAsia="黑体"/>
          <w:szCs w:val="21"/>
        </w:rPr>
        <w:t>备注：</w:t>
      </w:r>
      <w:r>
        <w:rPr>
          <w:rFonts w:hint="eastAsia" w:ascii="宋体" w:hAnsi="宋体"/>
          <w:szCs w:val="21"/>
        </w:rPr>
        <w:t>1、类似项目指市政工程</w:t>
      </w:r>
      <w:r>
        <w:rPr>
          <w:rFonts w:hint="eastAsia" w:ascii="宋体" w:hAnsi="宋体"/>
          <w:b/>
          <w:szCs w:val="21"/>
        </w:rPr>
        <w:t>。</w:t>
      </w:r>
    </w:p>
    <w:p>
      <w:pPr>
        <w:spacing w:line="440" w:lineRule="exact"/>
        <w:ind w:left="630" w:leftChars="300"/>
        <w:rPr>
          <w:rFonts w:ascii="宋体" w:hAnsi="宋体"/>
          <w:szCs w:val="21"/>
        </w:rPr>
      </w:pPr>
      <w:r>
        <w:rPr>
          <w:rFonts w:hint="eastAsia" w:ascii="宋体" w:hAnsi="宋体"/>
          <w:szCs w:val="21"/>
        </w:rPr>
        <w:t>2、本表后附代建合同复印件，时间以代建合同签订时间为准。具体年份要求见投标人须知前附表。每张表格只填写一个项目，并标明序号。</w:t>
      </w:r>
    </w:p>
    <w:p>
      <w:pPr>
        <w:spacing w:before="120" w:beforeLines="50" w:after="240" w:afterLines="100" w:line="440" w:lineRule="exact"/>
        <w:outlineLvl w:val="0"/>
        <w:rPr>
          <w:rFonts w:ascii="黑体" w:hAnsi="宋体" w:eastAsia="黑体"/>
          <w:sz w:val="24"/>
        </w:rPr>
      </w:pPr>
      <w:r>
        <w:rPr>
          <w:rFonts w:ascii="宋体" w:hAnsi="宋体"/>
          <w:szCs w:val="21"/>
        </w:rPr>
        <w:br w:type="page"/>
      </w:r>
      <w:bookmarkStart w:id="110" w:name="_Toc41309533"/>
      <w:bookmarkStart w:id="111" w:name="_Toc455588683"/>
      <w:r>
        <w:rPr>
          <w:rFonts w:hint="eastAsia" w:ascii="黑体" w:hAnsi="宋体" w:eastAsia="黑体"/>
          <w:sz w:val="24"/>
        </w:rPr>
        <w:t>（四）近年发生的诉讼和仲裁情况</w:t>
      </w:r>
      <w:bookmarkEnd w:id="110"/>
      <w:bookmarkEnd w:id="111"/>
    </w:p>
    <w:p>
      <w:pPr>
        <w:spacing w:line="440" w:lineRule="exact"/>
        <w:ind w:left="630" w:hanging="630" w:hangingChars="300"/>
        <w:rPr>
          <w:rFonts w:ascii="宋体" w:hAnsi="宋体"/>
          <w:szCs w:val="21"/>
        </w:rPr>
      </w:pPr>
      <w:r>
        <w:rPr>
          <w:rFonts w:hint="eastAsia" w:ascii="黑体" w:hAnsi="宋体" w:eastAsia="黑体"/>
          <w:szCs w:val="21"/>
        </w:rPr>
        <w:t>说明：</w:t>
      </w:r>
      <w:r>
        <w:rPr>
          <w:rFonts w:hint="eastAsia" w:ascii="宋体" w:hAnsi="宋体"/>
          <w:szCs w:val="21"/>
        </w:rPr>
        <w:t>近年发生的诉讼和仲裁情况仅限于投标人败诉的，且与履行施工承包合同有关的案件，不包括调解结案以及未裁决的仲裁或未终审判决的诉讼。</w:t>
      </w:r>
    </w:p>
    <w:p>
      <w:pPr>
        <w:spacing w:before="120" w:beforeLines="50" w:after="120" w:afterLines="50" w:line="440" w:lineRule="exact"/>
        <w:ind w:left="630" w:hanging="630" w:hangingChars="300"/>
        <w:outlineLvl w:val="0"/>
        <w:rPr>
          <w:rFonts w:ascii="黑体" w:hAnsi="宋体" w:eastAsia="黑体"/>
          <w:sz w:val="24"/>
        </w:rPr>
      </w:pPr>
      <w:r>
        <w:rPr>
          <w:rFonts w:ascii="宋体" w:hAnsi="宋体"/>
          <w:szCs w:val="21"/>
        </w:rPr>
        <w:br w:type="page"/>
      </w:r>
      <w:bookmarkStart w:id="112" w:name="_Toc41309534"/>
      <w:bookmarkStart w:id="113" w:name="_Toc455588684"/>
      <w:r>
        <w:rPr>
          <w:rFonts w:hint="eastAsia" w:ascii="黑体" w:hAnsi="宋体" w:eastAsia="黑体"/>
          <w:sz w:val="24"/>
        </w:rPr>
        <w:t>（五）企业其他信誉情况表</w:t>
      </w:r>
      <w:r>
        <w:rPr>
          <w:rFonts w:hint="eastAsia" w:ascii="楷体_GB2312" w:hAnsi="宋体" w:eastAsia="楷体_GB2312"/>
          <w:sz w:val="24"/>
        </w:rPr>
        <w:t>（年份要求同诉讼及仲裁情况年份要求）</w:t>
      </w:r>
      <w:bookmarkEnd w:id="112"/>
      <w:bookmarkEnd w:id="113"/>
    </w:p>
    <w:p>
      <w:pPr>
        <w:spacing w:line="440" w:lineRule="exact"/>
        <w:ind w:left="630" w:hanging="630" w:hangingChars="300"/>
        <w:rPr>
          <w:rFonts w:ascii="黑体" w:hAnsi="宋体" w:eastAsia="黑体"/>
          <w:szCs w:val="21"/>
        </w:rPr>
      </w:pPr>
      <w:r>
        <w:rPr>
          <w:rFonts w:hint="eastAsia" w:ascii="黑体" w:hAnsi="宋体" w:eastAsia="黑体"/>
          <w:szCs w:val="21"/>
        </w:rPr>
        <w:t>1、近年企业不良行为记录情况</w:t>
      </w:r>
    </w:p>
    <w:p>
      <w:pPr>
        <w:spacing w:line="440" w:lineRule="exact"/>
        <w:ind w:left="630" w:hanging="630" w:hangingChars="300"/>
        <w:rPr>
          <w:rFonts w:ascii="黑体" w:hAnsi="宋体" w:eastAsia="黑体"/>
          <w:szCs w:val="21"/>
        </w:rPr>
      </w:pPr>
    </w:p>
    <w:p>
      <w:pPr>
        <w:spacing w:line="440" w:lineRule="exact"/>
        <w:ind w:left="630" w:hanging="630" w:hangingChars="300"/>
        <w:rPr>
          <w:rFonts w:ascii="黑体" w:hAnsi="宋体" w:eastAsia="黑体"/>
          <w:szCs w:val="21"/>
        </w:rPr>
      </w:pPr>
    </w:p>
    <w:p>
      <w:pPr>
        <w:spacing w:line="440" w:lineRule="exact"/>
        <w:ind w:left="630" w:hanging="630" w:hangingChars="300"/>
        <w:rPr>
          <w:rFonts w:ascii="黑体" w:hAnsi="宋体" w:eastAsia="黑体"/>
          <w:szCs w:val="21"/>
        </w:rPr>
      </w:pPr>
    </w:p>
    <w:p>
      <w:pPr>
        <w:spacing w:line="440" w:lineRule="exact"/>
        <w:ind w:left="630" w:hanging="630" w:hangingChars="300"/>
        <w:rPr>
          <w:rFonts w:ascii="黑体" w:hAnsi="宋体" w:eastAsia="黑体"/>
          <w:szCs w:val="21"/>
        </w:rPr>
      </w:pPr>
    </w:p>
    <w:p>
      <w:pPr>
        <w:spacing w:line="440" w:lineRule="exact"/>
        <w:ind w:left="630" w:hanging="630" w:hangingChars="300"/>
        <w:rPr>
          <w:rFonts w:ascii="黑体" w:hAnsi="宋体" w:eastAsia="黑体"/>
          <w:szCs w:val="21"/>
        </w:rPr>
      </w:pPr>
    </w:p>
    <w:p>
      <w:pPr>
        <w:spacing w:line="440" w:lineRule="exact"/>
        <w:ind w:left="630" w:hanging="630" w:hangingChars="300"/>
        <w:rPr>
          <w:rFonts w:ascii="黑体" w:hAnsi="宋体" w:eastAsia="黑体"/>
          <w:szCs w:val="21"/>
        </w:rPr>
      </w:pPr>
    </w:p>
    <w:p>
      <w:pPr>
        <w:spacing w:line="440" w:lineRule="exact"/>
        <w:ind w:left="630" w:hanging="630" w:hangingChars="300"/>
        <w:rPr>
          <w:rFonts w:ascii="黑体" w:hAnsi="宋体" w:eastAsia="黑体"/>
          <w:szCs w:val="21"/>
        </w:rPr>
      </w:pPr>
      <w:r>
        <w:rPr>
          <w:rFonts w:hint="eastAsia" w:ascii="黑体" w:hAnsi="宋体" w:eastAsia="黑体"/>
          <w:szCs w:val="21"/>
        </w:rPr>
        <w:t>2、在施工程以及近年已竣工工程合同履行情况</w:t>
      </w:r>
    </w:p>
    <w:p>
      <w:pPr>
        <w:spacing w:line="440" w:lineRule="exact"/>
        <w:ind w:left="630" w:hanging="630" w:hangingChars="300"/>
        <w:rPr>
          <w:rFonts w:ascii="黑体" w:hAnsi="宋体" w:eastAsia="黑体"/>
          <w:szCs w:val="21"/>
        </w:rPr>
      </w:pPr>
    </w:p>
    <w:p>
      <w:pPr>
        <w:spacing w:line="440" w:lineRule="exact"/>
        <w:ind w:left="630" w:hanging="630" w:hangingChars="300"/>
        <w:rPr>
          <w:rFonts w:ascii="黑体" w:hAnsi="宋体" w:eastAsia="黑体"/>
          <w:szCs w:val="21"/>
        </w:rPr>
      </w:pPr>
    </w:p>
    <w:p>
      <w:pPr>
        <w:spacing w:line="440" w:lineRule="exact"/>
        <w:ind w:left="630" w:hanging="630" w:hangingChars="300"/>
        <w:rPr>
          <w:rFonts w:ascii="黑体" w:hAnsi="宋体" w:eastAsia="黑体"/>
          <w:szCs w:val="21"/>
        </w:rPr>
      </w:pPr>
    </w:p>
    <w:p>
      <w:pPr>
        <w:spacing w:line="440" w:lineRule="exact"/>
        <w:ind w:left="630" w:hanging="630" w:hangingChars="300"/>
        <w:rPr>
          <w:rFonts w:ascii="黑体" w:hAnsi="宋体" w:eastAsia="黑体"/>
          <w:szCs w:val="21"/>
        </w:rPr>
      </w:pPr>
    </w:p>
    <w:p>
      <w:pPr>
        <w:spacing w:line="440" w:lineRule="exact"/>
        <w:ind w:left="630" w:hanging="630" w:hangingChars="300"/>
        <w:rPr>
          <w:rFonts w:ascii="黑体" w:hAnsi="宋体" w:eastAsia="黑体"/>
          <w:szCs w:val="21"/>
        </w:rPr>
      </w:pPr>
    </w:p>
    <w:p>
      <w:pPr>
        <w:spacing w:line="440" w:lineRule="exact"/>
        <w:ind w:left="630" w:hanging="630" w:hangingChars="300"/>
        <w:rPr>
          <w:rFonts w:ascii="黑体" w:hAnsi="宋体" w:eastAsia="黑体"/>
          <w:szCs w:val="21"/>
        </w:rPr>
      </w:pPr>
    </w:p>
    <w:p>
      <w:pPr>
        <w:spacing w:line="440" w:lineRule="exact"/>
        <w:ind w:left="630" w:hanging="630" w:hangingChars="300"/>
        <w:rPr>
          <w:rFonts w:ascii="黑体" w:hAnsi="宋体" w:eastAsia="黑体"/>
          <w:szCs w:val="21"/>
        </w:rPr>
      </w:pPr>
      <w:r>
        <w:rPr>
          <w:rFonts w:hint="eastAsia" w:ascii="黑体" w:hAnsi="宋体" w:eastAsia="黑体"/>
          <w:szCs w:val="21"/>
        </w:rPr>
        <w:t>3、其  他</w:t>
      </w:r>
    </w:p>
    <w:p>
      <w:pPr>
        <w:spacing w:line="440" w:lineRule="exact"/>
        <w:ind w:left="630" w:hanging="630" w:hangingChars="300"/>
        <w:rPr>
          <w:rFonts w:ascii="黑体" w:hAnsi="宋体" w:eastAsia="黑体"/>
          <w:szCs w:val="21"/>
        </w:rPr>
      </w:pPr>
    </w:p>
    <w:p>
      <w:pPr>
        <w:spacing w:line="440" w:lineRule="exact"/>
        <w:ind w:left="630" w:hanging="630" w:hangingChars="300"/>
        <w:rPr>
          <w:rFonts w:ascii="黑体" w:hAnsi="宋体" w:eastAsia="黑体"/>
          <w:szCs w:val="21"/>
        </w:rPr>
      </w:pPr>
    </w:p>
    <w:p>
      <w:pPr>
        <w:spacing w:line="440" w:lineRule="exact"/>
        <w:ind w:left="630" w:hanging="630" w:hangingChars="300"/>
        <w:rPr>
          <w:rFonts w:ascii="黑体" w:hAnsi="宋体" w:eastAsia="黑体"/>
          <w:szCs w:val="21"/>
        </w:rPr>
      </w:pPr>
    </w:p>
    <w:p>
      <w:pPr>
        <w:spacing w:line="440" w:lineRule="exact"/>
        <w:ind w:left="630" w:hanging="630" w:hangingChars="300"/>
        <w:rPr>
          <w:rFonts w:ascii="黑体" w:hAnsi="宋体" w:eastAsia="黑体"/>
          <w:szCs w:val="21"/>
        </w:rPr>
      </w:pPr>
    </w:p>
    <w:p>
      <w:pPr>
        <w:spacing w:line="440" w:lineRule="exact"/>
        <w:ind w:left="630" w:hanging="630" w:hangingChars="300"/>
        <w:rPr>
          <w:rFonts w:ascii="黑体" w:hAnsi="宋体" w:eastAsia="黑体"/>
          <w:szCs w:val="21"/>
        </w:rPr>
      </w:pPr>
    </w:p>
    <w:p>
      <w:pPr>
        <w:spacing w:line="440" w:lineRule="exact"/>
        <w:ind w:left="945" w:hanging="945" w:hangingChars="450"/>
        <w:rPr>
          <w:rFonts w:ascii="宋体" w:hAnsi="宋体"/>
          <w:szCs w:val="21"/>
        </w:rPr>
      </w:pPr>
      <w:r>
        <w:rPr>
          <w:rFonts w:hint="eastAsia" w:ascii="黑体" w:hAnsi="宋体" w:eastAsia="黑体"/>
          <w:szCs w:val="21"/>
        </w:rPr>
        <w:t>备注：</w:t>
      </w:r>
      <w:r>
        <w:rPr>
          <w:rFonts w:hint="eastAsia" w:ascii="宋体" w:hAnsi="宋体"/>
          <w:szCs w:val="21"/>
        </w:rPr>
        <w:t>1、企业不良行为记录情况主要是近年投标人在工程建设过程中因违反有关工程建设的法律、法规、规章或强制性标准和执业行为规范，经县级以上建设行政主管部门或其委托的执法监督机构查实和行政处罚，形成的不良行为记录。应当结合第二章“投标人须知”前附表第10.1.2项定义的范围填写。</w:t>
      </w:r>
    </w:p>
    <w:p>
      <w:pPr>
        <w:spacing w:line="440" w:lineRule="exact"/>
        <w:ind w:left="945" w:leftChars="300" w:hanging="315" w:hangingChars="150"/>
        <w:rPr>
          <w:rFonts w:ascii="宋体" w:hAnsi="宋体"/>
          <w:szCs w:val="21"/>
        </w:rPr>
      </w:pPr>
      <w:r>
        <w:rPr>
          <w:rFonts w:hint="eastAsia" w:ascii="宋体" w:hAnsi="宋体"/>
          <w:szCs w:val="21"/>
        </w:rPr>
        <w:t>2、合同履行情况主要是投标人近年所承接工程和已竣工工程是否按合同约定的工期、质量、安全等履行合同义务，对未竣工工程合同履行情况还应重点说明非不可抗力解除合同（如果有)的原因等具体情况，等等。</w:t>
      </w:r>
    </w:p>
    <w:p>
      <w:pPr>
        <w:spacing w:before="240" w:beforeLines="100" w:line="440" w:lineRule="exact"/>
        <w:jc w:val="center"/>
        <w:outlineLvl w:val="0"/>
        <w:rPr>
          <w:rFonts w:ascii="黑体" w:hAnsi="宋体" w:eastAsia="黑体"/>
          <w:sz w:val="28"/>
          <w:szCs w:val="28"/>
        </w:rPr>
      </w:pPr>
      <w:r>
        <w:rPr>
          <w:rFonts w:ascii="宋体" w:hAnsi="宋体"/>
          <w:szCs w:val="21"/>
        </w:rPr>
        <w:br w:type="page"/>
      </w:r>
      <w:bookmarkStart w:id="114" w:name="_Toc455588685"/>
      <w:bookmarkStart w:id="115" w:name="_Toc9924"/>
      <w:bookmarkStart w:id="116" w:name="_Toc15891"/>
      <w:bookmarkStart w:id="117" w:name="_Toc41309535"/>
      <w:r>
        <w:rPr>
          <w:rFonts w:hint="eastAsia" w:ascii="黑体" w:hAnsi="宋体" w:eastAsia="黑体"/>
          <w:sz w:val="28"/>
          <w:szCs w:val="28"/>
        </w:rPr>
        <w:t>八、其他材料</w:t>
      </w:r>
      <w:bookmarkEnd w:id="114"/>
      <w:bookmarkEnd w:id="115"/>
      <w:bookmarkEnd w:id="116"/>
      <w:bookmarkEnd w:id="117"/>
    </w:p>
    <w:p/>
    <w:p/>
    <w:sectPr>
      <w:footerReference r:id="rId8" w:type="default"/>
      <w:footerReference r:id="rId9" w:type="even"/>
      <w:pgSz w:w="11906" w:h="16838"/>
      <w:pgMar w:top="1588" w:right="1701" w:bottom="1418" w:left="1701"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1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pPr>
    <w:r>
      <w:rPr>
        <w:rFonts w:hint="eastAsia"/>
      </w:rPr>
      <w:fldChar w:fldCharType="begin"/>
    </w:r>
    <w:r>
      <w:rPr>
        <w:rStyle w:val="19"/>
        <w:rFonts w:hint="eastAsia"/>
      </w:rPr>
      <w:instrText xml:space="preserve"> PAGE  </w:instrText>
    </w:r>
    <w:r>
      <w:rPr>
        <w:rFonts w:hint="eastAsia"/>
      </w:rPr>
      <w:fldChar w:fldCharType="separate"/>
    </w:r>
    <w:r>
      <w:rPr>
        <w:rStyle w:val="19"/>
      </w:rPr>
      <w:t>33</w:t>
    </w:r>
    <w:r>
      <w:rPr>
        <w:rFonts w:hint="eastAsia"/>
      </w:rPr>
      <w:fldChar w:fldCharType="end"/>
    </w:r>
  </w:p>
  <w:p>
    <w:pPr>
      <w:pStyle w:val="10"/>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9"/>
      </w:rPr>
    </w:pPr>
    <w:r>
      <w:fldChar w:fldCharType="begin"/>
    </w:r>
    <w:r>
      <w:rPr>
        <w:rStyle w:val="19"/>
      </w:rPr>
      <w:instrText xml:space="preserve">PAGE  </w:instrText>
    </w:r>
    <w:r>
      <w:fldChar w:fldCharType="separate"/>
    </w:r>
    <w:r>
      <w:rPr>
        <w:rStyle w:val="19"/>
      </w:rPr>
      <w:t>1</w:t>
    </w:r>
    <w: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9"/>
        <w:rFonts w:ascii="仿宋_GB2312" w:eastAsia="仿宋_GB2312"/>
        <w:sz w:val="21"/>
        <w:szCs w:val="21"/>
      </w:rPr>
    </w:pPr>
    <w:r>
      <w:rPr>
        <w:rFonts w:hint="eastAsia" w:ascii="仿宋_GB2312" w:eastAsia="仿宋_GB2312"/>
        <w:sz w:val="21"/>
        <w:szCs w:val="21"/>
      </w:rPr>
      <w:fldChar w:fldCharType="begin"/>
    </w:r>
    <w:r>
      <w:rPr>
        <w:rStyle w:val="19"/>
        <w:rFonts w:hint="eastAsia" w:ascii="仿宋_GB2312" w:eastAsia="仿宋_GB2312"/>
        <w:sz w:val="21"/>
        <w:szCs w:val="21"/>
      </w:rPr>
      <w:instrText xml:space="preserve">PAGE  </w:instrText>
    </w:r>
    <w:r>
      <w:rPr>
        <w:rFonts w:hint="eastAsia" w:ascii="仿宋_GB2312" w:eastAsia="仿宋_GB2312"/>
        <w:sz w:val="21"/>
        <w:szCs w:val="21"/>
      </w:rPr>
      <w:fldChar w:fldCharType="separate"/>
    </w:r>
    <w:r>
      <w:rPr>
        <w:rStyle w:val="19"/>
        <w:rFonts w:ascii="仿宋_GB2312" w:eastAsia="仿宋_GB2312"/>
        <w:sz w:val="21"/>
        <w:szCs w:val="21"/>
      </w:rPr>
      <w:t>56</w:t>
    </w:r>
    <w:r>
      <w:rPr>
        <w:rFonts w:hint="eastAsia" w:ascii="仿宋_GB2312" w:eastAsia="仿宋_GB2312"/>
        <w:sz w:val="21"/>
        <w:szCs w:val="21"/>
      </w:rPr>
      <w:fldChar w:fldCharType="end"/>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9"/>
      </w:rPr>
    </w:pPr>
    <w:r>
      <w:fldChar w:fldCharType="begin"/>
    </w:r>
    <w:r>
      <w:rPr>
        <w:rStyle w:val="19"/>
      </w:rPr>
      <w:instrText xml:space="preserve">PAGE  </w:instrText>
    </w:r>
    <w:r>
      <w:fldChar w:fldCharType="separate"/>
    </w:r>
    <w:r>
      <w:rPr>
        <w:rStyle w:val="19"/>
      </w:rPr>
      <w:t>1</w:t>
    </w:r>
    <w:r>
      <w:fldChar w:fldCharType="end"/>
    </w: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9"/>
        <w:rFonts w:ascii="仿宋_GB2312" w:eastAsia="仿宋_GB2312"/>
      </w:rPr>
    </w:pPr>
    <w:r>
      <w:rPr>
        <w:rFonts w:hint="eastAsia" w:ascii="仿宋_GB2312" w:eastAsia="仿宋_GB2312"/>
      </w:rPr>
      <w:fldChar w:fldCharType="begin"/>
    </w:r>
    <w:r>
      <w:rPr>
        <w:rStyle w:val="19"/>
        <w:rFonts w:hint="eastAsia" w:ascii="仿宋_GB2312" w:eastAsia="仿宋_GB2312"/>
      </w:rPr>
      <w:instrText xml:space="preserve">PAGE  </w:instrText>
    </w:r>
    <w:r>
      <w:rPr>
        <w:rFonts w:hint="eastAsia" w:ascii="仿宋_GB2312" w:eastAsia="仿宋_GB2312"/>
      </w:rPr>
      <w:fldChar w:fldCharType="separate"/>
    </w:r>
    <w:r>
      <w:rPr>
        <w:rStyle w:val="19"/>
        <w:rFonts w:ascii="仿宋_GB2312" w:eastAsia="仿宋_GB2312"/>
      </w:rPr>
      <w:t>74</w:t>
    </w:r>
    <w:r>
      <w:rPr>
        <w:rFonts w:hint="eastAsia" w:ascii="仿宋_GB2312" w:eastAsia="仿宋_GB2312"/>
      </w:rPr>
      <w:fldChar w:fldCharType="end"/>
    </w:r>
  </w:p>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9"/>
      </w:rPr>
    </w:pPr>
    <w:r>
      <w:fldChar w:fldCharType="begin"/>
    </w:r>
    <w:r>
      <w:rPr>
        <w:rStyle w:val="19"/>
      </w:rPr>
      <w:instrText xml:space="preserve">PAGE  </w:instrText>
    </w:r>
    <w:r>
      <w:fldChar w:fldCharType="separate"/>
    </w:r>
    <w:r>
      <w:rPr>
        <w:rStyle w:val="19"/>
      </w:rPr>
      <w:t>1</w: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decimal"/>
      <w:suff w:val="nothing"/>
      <w:lvlText w:val="（%1）"/>
      <w:lvlJc w:val="left"/>
    </w:lvl>
  </w:abstractNum>
  <w:abstractNum w:abstractNumId="1">
    <w:nsid w:val="0000000B"/>
    <w:multiLevelType w:val="singleLevel"/>
    <w:tmpl w:val="0000000B"/>
    <w:lvl w:ilvl="0" w:tentative="0">
      <w:start w:val="1"/>
      <w:numFmt w:val="decimal"/>
      <w:suff w:val="nothing"/>
      <w:lvlText w:val="（%1）"/>
      <w:lvlJc w:val="left"/>
    </w:lvl>
  </w:abstractNum>
  <w:abstractNum w:abstractNumId="2">
    <w:nsid w:val="0000000C"/>
    <w:multiLevelType w:val="singleLevel"/>
    <w:tmpl w:val="0000000C"/>
    <w:lvl w:ilvl="0" w:tentative="0">
      <w:start w:val="1"/>
      <w:numFmt w:val="decimal"/>
      <w:suff w:val="nothing"/>
      <w:lvlText w:val="（%1）"/>
      <w:lvlJc w:val="left"/>
    </w:lvl>
  </w:abstractNum>
  <w:abstractNum w:abstractNumId="3">
    <w:nsid w:val="08A310A9"/>
    <w:multiLevelType w:val="multilevel"/>
    <w:tmpl w:val="08A310A9"/>
    <w:lvl w:ilvl="0" w:tentative="0">
      <w:start w:val="6"/>
      <w:numFmt w:val="decimal"/>
      <w:lvlText w:val="%1．"/>
      <w:lvlJc w:val="left"/>
      <w:pPr>
        <w:ind w:left="782" w:hanging="360"/>
      </w:pPr>
      <w:rPr>
        <w:rFonts w:hint="default" w:ascii="宋体" w:hAnsi="宋体" w:cs="宋体"/>
        <w:b/>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4">
    <w:nsid w:val="1BA24325"/>
    <w:multiLevelType w:val="multilevel"/>
    <w:tmpl w:val="1BA24325"/>
    <w:lvl w:ilvl="0" w:tentative="0">
      <w:start w:val="1"/>
      <w:numFmt w:val="decimal"/>
      <w:lvlText w:val="%1、"/>
      <w:lvlJc w:val="left"/>
      <w:pPr>
        <w:ind w:left="501"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09B5E3"/>
    <w:multiLevelType w:val="singleLevel"/>
    <w:tmpl w:val="5A09B5E3"/>
    <w:lvl w:ilvl="0" w:tentative="0">
      <w:start w:val="7"/>
      <w:numFmt w:val="decimal"/>
      <w:suff w:val="nothing"/>
      <w:lvlText w:val="%1．"/>
      <w:lvlJc w:val="left"/>
    </w:lvl>
  </w:abstractNum>
  <w:abstractNum w:abstractNumId="6">
    <w:nsid w:val="5A4CDACC"/>
    <w:multiLevelType w:val="singleLevel"/>
    <w:tmpl w:val="5A4CDACC"/>
    <w:lvl w:ilvl="0" w:tentative="0">
      <w:start w:val="1"/>
      <w:numFmt w:val="decimal"/>
      <w:lvlText w:val="%1."/>
      <w:lvlJc w:val="left"/>
      <w:pPr>
        <w:tabs>
          <w:tab w:val="left" w:pos="312"/>
        </w:tabs>
      </w:pPr>
    </w:lvl>
  </w:abstractNum>
  <w:num w:numId="1">
    <w:abstractNumId w:val="3"/>
  </w:num>
  <w:num w:numId="2">
    <w:abstractNumId w:val="5"/>
  </w:num>
  <w:num w:numId="3">
    <w:abstractNumId w:val="6"/>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4A"/>
    <w:rsid w:val="001728BA"/>
    <w:rsid w:val="001A6ADB"/>
    <w:rsid w:val="00207450"/>
    <w:rsid w:val="00221F77"/>
    <w:rsid w:val="002B1D38"/>
    <w:rsid w:val="002C3B79"/>
    <w:rsid w:val="00377270"/>
    <w:rsid w:val="0042134B"/>
    <w:rsid w:val="0048667F"/>
    <w:rsid w:val="004D2FBB"/>
    <w:rsid w:val="004D5897"/>
    <w:rsid w:val="004F5FDE"/>
    <w:rsid w:val="004F782C"/>
    <w:rsid w:val="00571459"/>
    <w:rsid w:val="005A2B1D"/>
    <w:rsid w:val="0060011C"/>
    <w:rsid w:val="00614481"/>
    <w:rsid w:val="006B3166"/>
    <w:rsid w:val="006B4AD4"/>
    <w:rsid w:val="00727FFA"/>
    <w:rsid w:val="00735D3F"/>
    <w:rsid w:val="007419EE"/>
    <w:rsid w:val="00767044"/>
    <w:rsid w:val="007E3A0E"/>
    <w:rsid w:val="00824F05"/>
    <w:rsid w:val="0087041A"/>
    <w:rsid w:val="00893867"/>
    <w:rsid w:val="008E15DA"/>
    <w:rsid w:val="008F1517"/>
    <w:rsid w:val="009312B6"/>
    <w:rsid w:val="009B6821"/>
    <w:rsid w:val="00AD41E2"/>
    <w:rsid w:val="00B16D6A"/>
    <w:rsid w:val="00B55B07"/>
    <w:rsid w:val="00BA0A3D"/>
    <w:rsid w:val="00BC4071"/>
    <w:rsid w:val="00BC5FD8"/>
    <w:rsid w:val="00C45B8A"/>
    <w:rsid w:val="00C762FA"/>
    <w:rsid w:val="00D205A5"/>
    <w:rsid w:val="00D352C1"/>
    <w:rsid w:val="00DA076E"/>
    <w:rsid w:val="00DD4582"/>
    <w:rsid w:val="00E15610"/>
    <w:rsid w:val="00E46326"/>
    <w:rsid w:val="00E71E82"/>
    <w:rsid w:val="00E86B4E"/>
    <w:rsid w:val="00EE0092"/>
    <w:rsid w:val="00EE398B"/>
    <w:rsid w:val="00F27261"/>
    <w:rsid w:val="00F61E23"/>
    <w:rsid w:val="00FB21C4"/>
    <w:rsid w:val="00FD099C"/>
    <w:rsid w:val="00FD684A"/>
    <w:rsid w:val="0A283DE0"/>
    <w:rsid w:val="0B513EB1"/>
    <w:rsid w:val="0D9A1FAF"/>
    <w:rsid w:val="12B220FC"/>
    <w:rsid w:val="13F56479"/>
    <w:rsid w:val="155437EC"/>
    <w:rsid w:val="21D0555B"/>
    <w:rsid w:val="25C95656"/>
    <w:rsid w:val="27156E51"/>
    <w:rsid w:val="30267D44"/>
    <w:rsid w:val="3ABA78A7"/>
    <w:rsid w:val="71681367"/>
    <w:rsid w:val="773C6368"/>
    <w:rsid w:val="78386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0"/>
    <w:pPr>
      <w:keepNext/>
      <w:keepLines/>
      <w:spacing w:before="340" w:after="330" w:line="576" w:lineRule="auto"/>
      <w:outlineLvl w:val="0"/>
    </w:pPr>
    <w:rPr>
      <w:b/>
      <w:bCs/>
      <w:kern w:val="44"/>
      <w:sz w:val="44"/>
      <w:szCs w:val="44"/>
      <w:lang w:val="zh-CN"/>
    </w:rPr>
  </w:style>
  <w:style w:type="paragraph" w:styleId="3">
    <w:name w:val="heading 2"/>
    <w:basedOn w:val="1"/>
    <w:next w:val="1"/>
    <w:link w:val="25"/>
    <w:qFormat/>
    <w:uiPriority w:val="0"/>
    <w:pPr>
      <w:keepNext/>
      <w:keepLines/>
      <w:spacing w:before="260" w:after="260" w:line="416" w:lineRule="auto"/>
      <w:jc w:val="center"/>
      <w:outlineLvl w:val="1"/>
    </w:pPr>
    <w:rPr>
      <w:rFonts w:ascii="Arial" w:hAnsi="Arial" w:eastAsia="黑体"/>
      <w:b/>
      <w:bCs/>
      <w:sz w:val="32"/>
      <w:szCs w:val="32"/>
      <w:lang w:val="zh-CN"/>
    </w:rPr>
  </w:style>
  <w:style w:type="character" w:default="1" w:styleId="18">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4">
    <w:name w:val="Document Map"/>
    <w:basedOn w:val="1"/>
    <w:link w:val="33"/>
    <w:qFormat/>
    <w:uiPriority w:val="0"/>
    <w:pPr>
      <w:shd w:val="clear" w:color="auto" w:fill="000080"/>
    </w:pPr>
  </w:style>
  <w:style w:type="paragraph" w:styleId="5">
    <w:name w:val="annotation text"/>
    <w:basedOn w:val="1"/>
    <w:link w:val="26"/>
    <w:semiHidden/>
    <w:unhideWhenUsed/>
    <w:qFormat/>
    <w:uiPriority w:val="0"/>
    <w:pPr>
      <w:jc w:val="left"/>
    </w:pPr>
  </w:style>
  <w:style w:type="paragraph" w:styleId="6">
    <w:name w:val="Body Text"/>
    <w:basedOn w:val="1"/>
    <w:link w:val="32"/>
    <w:qFormat/>
    <w:uiPriority w:val="0"/>
    <w:rPr>
      <w:sz w:val="30"/>
    </w:rPr>
  </w:style>
  <w:style w:type="paragraph" w:styleId="7">
    <w:name w:val="Plain Text"/>
    <w:basedOn w:val="1"/>
    <w:link w:val="28"/>
    <w:qFormat/>
    <w:uiPriority w:val="0"/>
    <w:pPr>
      <w:spacing w:line="580" w:lineRule="exact"/>
      <w:ind w:right="-197" w:firstLine="560" w:firstLineChars="200"/>
    </w:pPr>
    <w:rPr>
      <w:rFonts w:ascii="黑体" w:hAnsi="Courier New" w:eastAsia="黑体"/>
      <w:sz w:val="28"/>
    </w:rPr>
  </w:style>
  <w:style w:type="paragraph" w:styleId="8">
    <w:name w:val="Date"/>
    <w:basedOn w:val="1"/>
    <w:next w:val="1"/>
    <w:link w:val="30"/>
    <w:qFormat/>
    <w:uiPriority w:val="0"/>
    <w:pPr>
      <w:ind w:left="100" w:leftChars="2500"/>
    </w:pPr>
  </w:style>
  <w:style w:type="paragraph" w:styleId="9">
    <w:name w:val="Balloon Text"/>
    <w:basedOn w:val="1"/>
    <w:link w:val="29"/>
    <w:semiHidden/>
    <w:qFormat/>
    <w:uiPriority w:val="0"/>
    <w:rPr>
      <w:sz w:val="18"/>
      <w:szCs w:val="18"/>
    </w:rPr>
  </w:style>
  <w:style w:type="paragraph" w:styleId="10">
    <w:name w:val="footer"/>
    <w:basedOn w:val="1"/>
    <w:link w:val="23"/>
    <w:unhideWhenUsed/>
    <w:qFormat/>
    <w:uiPriority w:val="0"/>
    <w:pPr>
      <w:tabs>
        <w:tab w:val="center" w:pos="4153"/>
        <w:tab w:val="right" w:pos="8306"/>
      </w:tabs>
      <w:snapToGrid w:val="0"/>
      <w:jc w:val="left"/>
    </w:pPr>
    <w:rPr>
      <w:sz w:val="18"/>
      <w:szCs w:val="18"/>
    </w:rPr>
  </w:style>
  <w:style w:type="paragraph" w:styleId="11">
    <w:name w:val="header"/>
    <w:basedOn w:val="1"/>
    <w:link w:val="22"/>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style>
  <w:style w:type="paragraph" w:styleId="13">
    <w:name w:val="toc 2"/>
    <w:basedOn w:val="1"/>
    <w:next w:val="1"/>
    <w:qFormat/>
    <w:uiPriority w:val="39"/>
    <w:pPr>
      <w:ind w:left="420" w:leftChars="200"/>
    </w:pPr>
  </w:style>
  <w:style w:type="paragraph" w:styleId="14">
    <w:name w:val="HTML Preformatted"/>
    <w:basedOn w:val="1"/>
    <w:link w:val="3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5">
    <w:name w:val="Normal (Web)"/>
    <w:basedOn w:val="1"/>
    <w:qFormat/>
    <w:uiPriority w:val="0"/>
    <w:rPr>
      <w:sz w:val="24"/>
    </w:rPr>
  </w:style>
  <w:style w:type="paragraph" w:styleId="16">
    <w:name w:val="annotation subject"/>
    <w:basedOn w:val="5"/>
    <w:next w:val="5"/>
    <w:link w:val="27"/>
    <w:semiHidden/>
    <w:qFormat/>
    <w:uiPriority w:val="0"/>
    <w:rPr>
      <w:b/>
      <w:bCs/>
    </w:rPr>
  </w:style>
  <w:style w:type="character" w:styleId="19">
    <w:name w:val="page number"/>
    <w:basedOn w:val="18"/>
    <w:qFormat/>
    <w:uiPriority w:val="0"/>
  </w:style>
  <w:style w:type="character" w:styleId="20">
    <w:name w:val="Hyperlink"/>
    <w:qFormat/>
    <w:uiPriority w:val="99"/>
    <w:rPr>
      <w:color w:val="0000FF"/>
      <w:u w:val="single"/>
    </w:rPr>
  </w:style>
  <w:style w:type="character" w:styleId="21">
    <w:name w:val="annotation reference"/>
    <w:semiHidden/>
    <w:qFormat/>
    <w:uiPriority w:val="0"/>
    <w:rPr>
      <w:sz w:val="21"/>
      <w:szCs w:val="21"/>
    </w:rPr>
  </w:style>
  <w:style w:type="character" w:customStyle="1" w:styleId="22">
    <w:name w:val="页眉 Char"/>
    <w:basedOn w:val="18"/>
    <w:link w:val="11"/>
    <w:qFormat/>
    <w:uiPriority w:val="99"/>
    <w:rPr>
      <w:sz w:val="18"/>
      <w:szCs w:val="18"/>
    </w:rPr>
  </w:style>
  <w:style w:type="character" w:customStyle="1" w:styleId="23">
    <w:name w:val="页脚 Char"/>
    <w:basedOn w:val="18"/>
    <w:link w:val="10"/>
    <w:qFormat/>
    <w:uiPriority w:val="99"/>
    <w:rPr>
      <w:sz w:val="18"/>
      <w:szCs w:val="18"/>
    </w:rPr>
  </w:style>
  <w:style w:type="character" w:customStyle="1" w:styleId="24">
    <w:name w:val="标题 1 Char"/>
    <w:basedOn w:val="18"/>
    <w:link w:val="2"/>
    <w:qFormat/>
    <w:uiPriority w:val="0"/>
    <w:rPr>
      <w:rFonts w:ascii="Times New Roman" w:hAnsi="Times New Roman" w:eastAsia="宋体" w:cs="Times New Roman"/>
      <w:b/>
      <w:bCs/>
      <w:kern w:val="44"/>
      <w:sz w:val="44"/>
      <w:szCs w:val="44"/>
      <w:lang w:val="zh-CN" w:eastAsia="zh-CN"/>
    </w:rPr>
  </w:style>
  <w:style w:type="character" w:customStyle="1" w:styleId="25">
    <w:name w:val="标题 2 Char"/>
    <w:basedOn w:val="18"/>
    <w:link w:val="3"/>
    <w:qFormat/>
    <w:uiPriority w:val="0"/>
    <w:rPr>
      <w:rFonts w:ascii="Arial" w:hAnsi="Arial" w:eastAsia="黑体" w:cs="Times New Roman"/>
      <w:b/>
      <w:bCs/>
      <w:sz w:val="32"/>
      <w:szCs w:val="32"/>
      <w:lang w:val="zh-CN" w:eastAsia="zh-CN"/>
    </w:rPr>
  </w:style>
  <w:style w:type="character" w:customStyle="1" w:styleId="26">
    <w:name w:val="批注文字 Char"/>
    <w:basedOn w:val="18"/>
    <w:link w:val="5"/>
    <w:semiHidden/>
    <w:qFormat/>
    <w:uiPriority w:val="99"/>
    <w:rPr>
      <w:rFonts w:ascii="Times New Roman" w:hAnsi="Times New Roman" w:eastAsia="宋体" w:cs="Times New Roman"/>
      <w:szCs w:val="24"/>
    </w:rPr>
  </w:style>
  <w:style w:type="character" w:customStyle="1" w:styleId="27">
    <w:name w:val="批注主题 Char"/>
    <w:basedOn w:val="26"/>
    <w:link w:val="16"/>
    <w:semiHidden/>
    <w:qFormat/>
    <w:uiPriority w:val="0"/>
    <w:rPr>
      <w:rFonts w:ascii="Times New Roman" w:hAnsi="Times New Roman" w:eastAsia="宋体" w:cs="Times New Roman"/>
      <w:b/>
      <w:bCs/>
      <w:szCs w:val="24"/>
    </w:rPr>
  </w:style>
  <w:style w:type="character" w:customStyle="1" w:styleId="28">
    <w:name w:val="纯文本 Char"/>
    <w:basedOn w:val="18"/>
    <w:link w:val="7"/>
    <w:qFormat/>
    <w:uiPriority w:val="0"/>
    <w:rPr>
      <w:rFonts w:ascii="黑体" w:hAnsi="Courier New" w:eastAsia="黑体" w:cs="Times New Roman"/>
      <w:sz w:val="28"/>
      <w:szCs w:val="24"/>
    </w:rPr>
  </w:style>
  <w:style w:type="character" w:customStyle="1" w:styleId="29">
    <w:name w:val="批注框文本 Char"/>
    <w:basedOn w:val="18"/>
    <w:link w:val="9"/>
    <w:semiHidden/>
    <w:qFormat/>
    <w:uiPriority w:val="0"/>
    <w:rPr>
      <w:rFonts w:ascii="Times New Roman" w:hAnsi="Times New Roman" w:eastAsia="宋体" w:cs="Times New Roman"/>
      <w:sz w:val="18"/>
      <w:szCs w:val="18"/>
    </w:rPr>
  </w:style>
  <w:style w:type="character" w:customStyle="1" w:styleId="30">
    <w:name w:val="日期 Char"/>
    <w:basedOn w:val="18"/>
    <w:link w:val="8"/>
    <w:qFormat/>
    <w:uiPriority w:val="0"/>
    <w:rPr>
      <w:rFonts w:ascii="Times New Roman" w:hAnsi="Times New Roman" w:eastAsia="宋体" w:cs="Times New Roman"/>
      <w:szCs w:val="24"/>
    </w:rPr>
  </w:style>
  <w:style w:type="character" w:customStyle="1" w:styleId="31">
    <w:name w:val="HTML 预设格式 Char"/>
    <w:basedOn w:val="18"/>
    <w:link w:val="14"/>
    <w:qFormat/>
    <w:uiPriority w:val="0"/>
    <w:rPr>
      <w:rFonts w:ascii="宋体" w:hAnsi="宋体" w:eastAsia="宋体" w:cs="宋体"/>
      <w:kern w:val="0"/>
      <w:sz w:val="24"/>
      <w:szCs w:val="24"/>
    </w:rPr>
  </w:style>
  <w:style w:type="character" w:customStyle="1" w:styleId="32">
    <w:name w:val="正文文本 Char"/>
    <w:basedOn w:val="18"/>
    <w:link w:val="6"/>
    <w:qFormat/>
    <w:uiPriority w:val="0"/>
    <w:rPr>
      <w:rFonts w:ascii="Times New Roman" w:hAnsi="Times New Roman" w:eastAsia="宋体" w:cs="Times New Roman"/>
      <w:sz w:val="30"/>
      <w:szCs w:val="24"/>
    </w:rPr>
  </w:style>
  <w:style w:type="character" w:customStyle="1" w:styleId="33">
    <w:name w:val="文档结构图 Char"/>
    <w:basedOn w:val="18"/>
    <w:link w:val="4"/>
    <w:qFormat/>
    <w:uiPriority w:val="0"/>
    <w:rPr>
      <w:rFonts w:ascii="Times New Roman" w:hAnsi="Times New Roman" w:eastAsia="宋体" w:cs="Times New Roman"/>
      <w:szCs w:val="24"/>
      <w:shd w:val="clear" w:color="auto" w:fill="000080"/>
    </w:rPr>
  </w:style>
  <w:style w:type="paragraph" w:customStyle="1" w:styleId="34">
    <w:name w:val="msolistparagraph"/>
    <w:basedOn w:val="1"/>
    <w:qFormat/>
    <w:uiPriority w:val="0"/>
    <w:pPr>
      <w:ind w:firstLine="420" w:firstLineChars="200"/>
    </w:pPr>
    <w:rPr>
      <w:rFonts w:ascii="Calibri" w:hAnsi="Calibri"/>
      <w:szCs w:val="22"/>
    </w:rPr>
  </w:style>
  <w:style w:type="paragraph" w:customStyle="1" w:styleId="35">
    <w:name w:val="WPSOffice手动目录 1"/>
    <w:qFormat/>
    <w:uiPriority w:val="0"/>
    <w:rPr>
      <w:rFonts w:ascii="Times New Roman" w:hAnsi="Times New Roman" w:eastAsia="宋体" w:cs="Times New Roman"/>
      <w:lang w:val="en-US" w:eastAsia="zh-CN" w:bidi="ar-SA"/>
    </w:rPr>
  </w:style>
  <w:style w:type="paragraph" w:customStyle="1" w:styleId="36">
    <w:name w:val="Char Char Char Char"/>
    <w:basedOn w:val="1"/>
    <w:qFormat/>
    <w:uiPriority w:val="0"/>
    <w:pPr>
      <w:widowControl/>
      <w:spacing w:after="160" w:line="240" w:lineRule="exact"/>
      <w:jc w:val="left"/>
    </w:pPr>
  </w:style>
  <w:style w:type="paragraph" w:styleId="37">
    <w:name w:val="List Paragraph"/>
    <w:basedOn w:val="1"/>
    <w:qFormat/>
    <w:uiPriority w:val="34"/>
    <w:pPr>
      <w:ind w:firstLine="420" w:firstLineChars="200"/>
    </w:pPr>
  </w:style>
  <w:style w:type="paragraph" w:customStyle="1" w:styleId="38">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lang w:val="en-US"/>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3B30F9-9FD6-4B5B-BBA7-28FEB3AE1586}">
  <ds:schemaRefs/>
</ds:datastoreItem>
</file>

<file path=docProps/app.xml><?xml version="1.0" encoding="utf-8"?>
<Properties xmlns="http://schemas.openxmlformats.org/officeDocument/2006/extended-properties" xmlns:vt="http://schemas.openxmlformats.org/officeDocument/2006/docPropsVTypes">
  <Template>Normal.dotm</Template>
  <Pages>75</Pages>
  <Words>6756</Words>
  <Characters>38513</Characters>
  <Lines>320</Lines>
  <Paragraphs>90</Paragraphs>
  <TotalTime>54</TotalTime>
  <ScaleCrop>false</ScaleCrop>
  <LinksUpToDate>false</LinksUpToDate>
  <CharactersWithSpaces>45179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2020-05-23T11:29:00Z</dcterms:created>
  <dc:creator>l</dc:creator>
  <cp:lastModifiedBy>Administrator</cp:lastModifiedBy>
  <dcterms:modified xsi:type="dcterms:W3CDTF">2020-05-29T10:23:28Z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